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E60E56">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南京市台商投资保护和促进服务中心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E60E5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E60E5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E60E5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E60E5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E60E5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E60E5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E60E5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E60E5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E60E5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E60E5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E60E5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E60E5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lastRenderedPageBreak/>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E60E5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E60E5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E60E56">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9"/>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E60E5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E60E5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E60E5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为两岸经贸交流提供信息服务、台商在南京投资中介服务、两岸经贸信息咨询服务。</w:t>
      </w:r>
    </w:p>
    <w:p w:rsidR="006E012F" w:rsidRPr="00CF349C" w:rsidRDefault="00E60E5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E60E5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本单位无内设机构。本单位无下属单位。</w:t>
      </w:r>
    </w:p>
    <w:p w:rsidR="006E012F" w:rsidRDefault="00E60E5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E60E5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南京市台商投资保护和促进服务中心主要工作任务为涉密内容。</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E60E5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E60E5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南京市台商投资保护和促进服务中心</w:t>
      </w:r>
    </w:p>
    <w:p w:rsidR="006E012F" w:rsidRDefault="00E60E5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E012F">
        <w:trPr>
          <w:trHeight w:val="544"/>
          <w:jc w:val="center"/>
        </w:trPr>
        <w:tc>
          <w:tcPr>
            <w:tcW w:w="10447" w:type="dxa"/>
            <w:gridSpan w:val="5"/>
          </w:tcPr>
          <w:p w:rsidR="006E012F" w:rsidRDefault="00E60E5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E60E5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南京市台商投资保护和促进服务中心</w:t>
            </w:r>
          </w:p>
        </w:tc>
        <w:tc>
          <w:tcPr>
            <w:tcW w:w="3167" w:type="dxa"/>
            <w:gridSpan w:val="2"/>
            <w:tcBorders>
              <w:bottom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365.40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218.11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0.15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48.82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96.83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365.55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363.76</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rsidP="00F7268F">
            <w:pPr>
              <w:ind w:firstLineChars="100" w:firstLine="231"/>
              <w:rPr>
                <w:rFonts w:ascii="仿宋" w:eastAsia="仿宋" w:hAnsi="仿宋" w:cs="仿宋"/>
                <w:color w:val="000000"/>
              </w:rPr>
            </w:pPr>
            <w:r>
              <w:rPr>
                <w:rFonts w:ascii="仿宋" w:eastAsia="仿宋" w:hAnsi="仿宋" w:cs="仿宋" w:hint="eastAsia"/>
                <w:color w:val="000000"/>
                <w:lang w:eastAsia="ar-SA"/>
              </w:rPr>
              <w:lastRenderedPageBreak/>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rsidP="00F7268F">
            <w:pPr>
              <w:ind w:firstLineChars="100" w:firstLine="231"/>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rsidP="00F7268F">
            <w:pPr>
              <w:ind w:firstLineChars="100" w:firstLine="231"/>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lang w:eastAsia="ar-SA"/>
              </w:rPr>
            </w:pPr>
            <w:r>
              <w:rPr>
                <w:rFonts w:ascii="仿宋" w:eastAsia="仿宋" w:hAnsi="仿宋" w:cs="仿宋" w:hint="eastAsia"/>
                <w:color w:val="000000"/>
                <w:lang w:eastAsia="ar-SA"/>
              </w:rPr>
              <w:t>67.90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rsidP="00F7268F">
            <w:pPr>
              <w:ind w:firstLineChars="100" w:firstLine="231"/>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69.69</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433.45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color w:val="000000"/>
              </w:rPr>
            </w:pPr>
            <w:r>
              <w:rPr>
                <w:rFonts w:ascii="仿宋" w:eastAsia="仿宋" w:hAnsi="仿宋" w:cs="仿宋" w:hint="eastAsia"/>
                <w:color w:val="000000"/>
                <w:lang w:eastAsia="ar-SA"/>
              </w:rPr>
              <w:t>433.45</w:t>
            </w:r>
          </w:p>
        </w:tc>
      </w:tr>
    </w:tbl>
    <w:p w:rsidR="006E012F" w:rsidRDefault="00E60E5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E60E5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2703" w:type="dxa"/>
            <w:gridSpan w:val="2"/>
            <w:vAlign w:val="center"/>
          </w:tcPr>
          <w:p w:rsidR="006E012F" w:rsidRDefault="00E60E56">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w:t>
            </w:r>
          </w:p>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E60E56">
            <w:pPr>
              <w:jc w:val="right"/>
              <w:rPr>
                <w:rFonts w:ascii="仿宋" w:eastAsia="仿宋" w:hAnsi="仿宋" w:cs="仿宋"/>
                <w:sz w:val="20"/>
                <w:szCs w:val="20"/>
              </w:rPr>
            </w:pPr>
            <w:r>
              <w:rPr>
                <w:rFonts w:ascii="仿宋" w:eastAsia="仿宋" w:hAnsi="仿宋" w:cs="仿宋" w:hint="eastAsia"/>
                <w:sz w:val="20"/>
                <w:szCs w:val="20"/>
              </w:rPr>
              <w:t>365.55</w:t>
            </w:r>
          </w:p>
        </w:tc>
        <w:tc>
          <w:tcPr>
            <w:tcW w:w="1728" w:type="dxa"/>
            <w:tcBorders>
              <w:left w:val="single" w:sz="4" w:space="0" w:color="000000"/>
              <w:bottom w:val="single" w:sz="4" w:space="0" w:color="000000"/>
            </w:tcBorders>
            <w:vAlign w:val="center"/>
          </w:tcPr>
          <w:p w:rsidR="006E012F" w:rsidRDefault="00E60E56">
            <w:pPr>
              <w:jc w:val="right"/>
              <w:rPr>
                <w:rFonts w:ascii="仿宋" w:eastAsia="仿宋" w:hAnsi="仿宋" w:cs="仿宋"/>
                <w:sz w:val="20"/>
                <w:szCs w:val="20"/>
              </w:rPr>
            </w:pPr>
            <w:r>
              <w:rPr>
                <w:rFonts w:ascii="仿宋" w:eastAsia="仿宋" w:hAnsi="仿宋" w:cs="仿宋" w:hint="eastAsia"/>
                <w:sz w:val="20"/>
                <w:szCs w:val="20"/>
              </w:rPr>
              <w:t>365.40</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sz w:val="20"/>
                <w:szCs w:val="20"/>
              </w:rPr>
            </w:pPr>
            <w:r>
              <w:rPr>
                <w:rFonts w:ascii="仿宋" w:eastAsia="仿宋" w:hAnsi="仿宋" w:cs="仿宋" w:hint="eastAsia"/>
                <w:sz w:val="20"/>
                <w:szCs w:val="20"/>
              </w:rPr>
              <w:t>0.15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219.17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0.15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219.17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0.15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219.32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219.17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0.15</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48.71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48.71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48.71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48.71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7.24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7.24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27.65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27.65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13.82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13.82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97.52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97.52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97.52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97.52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26.88</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26.88</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70.64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20"/>
                <w:szCs w:val="20"/>
              </w:rPr>
            </w:pPr>
            <w:r>
              <w:rPr>
                <w:rFonts w:ascii="仿宋" w:eastAsia="仿宋" w:hAnsi="仿宋" w:cs="仿宋" w:hint="eastAsia"/>
                <w:sz w:val="20"/>
                <w:szCs w:val="20"/>
              </w:rPr>
              <w:t>70.64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E60E5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rsidP="00F7268F">
      <w:pPr>
        <w:spacing w:before="66"/>
        <w:ind w:left="57" w:firstLineChars="100" w:firstLine="231"/>
        <w:jc w:val="both"/>
        <w:rPr>
          <w:rFonts w:ascii="仿宋" w:eastAsia="仿宋" w:hAnsi="仿宋" w:cs="仿宋"/>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E60E5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059" w:type="dxa"/>
            <w:gridSpan w:val="2"/>
            <w:vAlign w:val="center"/>
          </w:tcPr>
          <w:p w:rsidR="006E012F" w:rsidRDefault="00E60E5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w:t>
            </w:r>
          </w:p>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363.76</w:t>
            </w:r>
          </w:p>
        </w:tc>
        <w:tc>
          <w:tcPr>
            <w:tcW w:w="1897" w:type="dxa"/>
            <w:tcBorders>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363.76</w:t>
            </w:r>
          </w:p>
        </w:tc>
        <w:tc>
          <w:tcPr>
            <w:tcW w:w="1739"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20125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2012501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218.11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48.82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48.82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48.82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48.82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7.82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7.82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27.34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27.34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13.67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13.67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96.83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96.83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96.83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96.83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26.19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26.19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70.64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E60E56">
            <w:pPr>
              <w:pStyle w:val="TableParagraph"/>
              <w:spacing w:before="30"/>
              <w:ind w:left="107"/>
              <w:jc w:val="right"/>
              <w:rPr>
                <w:rFonts w:ascii="仿宋" w:eastAsia="仿宋" w:hAnsi="仿宋" w:cs="仿宋"/>
              </w:rPr>
            </w:pPr>
            <w:r>
              <w:rPr>
                <w:rFonts w:ascii="仿宋" w:eastAsia="仿宋" w:hAnsi="仿宋" w:cs="仿宋" w:hint="eastAsia"/>
              </w:rPr>
              <w:t>70.64</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E60E56">
      <w:pPr>
        <w:spacing w:before="59"/>
        <w:rPr>
          <w:rFonts w:ascii="仿宋" w:eastAsia="仿宋" w:hAnsi="仿宋" w:cs="仿宋"/>
        </w:rPr>
      </w:pPr>
      <w:r>
        <w:rPr>
          <w:rFonts w:ascii="仿宋" w:eastAsia="仿宋" w:hAnsi="仿宋" w:cs="仿宋" w:hint="eastAsia"/>
        </w:rPr>
        <w:lastRenderedPageBreak/>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221" w:type="dxa"/>
            <w:gridSpan w:val="3"/>
            <w:vAlign w:val="center"/>
          </w:tcPr>
          <w:p w:rsidR="006E012F" w:rsidRDefault="00E60E5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E60E5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E60E5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E60E5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E60E56">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365.40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365.40</w:t>
            </w:r>
          </w:p>
        </w:tc>
        <w:tc>
          <w:tcPr>
            <w:tcW w:w="3667" w:type="dxa"/>
            <w:gridSpan w:val="3"/>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363.49</w:t>
            </w:r>
          </w:p>
        </w:tc>
        <w:tc>
          <w:tcPr>
            <w:tcW w:w="1415" w:type="dxa"/>
            <w:gridSpan w:val="2"/>
            <w:tcBorders>
              <w:top w:val="single" w:sz="4" w:space="0" w:color="000000"/>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363.49</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67.77</w:t>
            </w:r>
          </w:p>
        </w:tc>
        <w:tc>
          <w:tcPr>
            <w:tcW w:w="3667" w:type="dxa"/>
            <w:gridSpan w:val="3"/>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69.68</w:t>
            </w:r>
          </w:p>
        </w:tc>
        <w:tc>
          <w:tcPr>
            <w:tcW w:w="1415" w:type="dxa"/>
            <w:gridSpan w:val="2"/>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69.68</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67.77</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433.17</w:t>
            </w:r>
          </w:p>
        </w:tc>
        <w:tc>
          <w:tcPr>
            <w:tcW w:w="3667" w:type="dxa"/>
            <w:gridSpan w:val="3"/>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433.17</w:t>
            </w:r>
          </w:p>
        </w:tc>
        <w:tc>
          <w:tcPr>
            <w:tcW w:w="1415" w:type="dxa"/>
            <w:gridSpan w:val="2"/>
            <w:tcBorders>
              <w:left w:val="single" w:sz="4" w:space="0" w:color="000000"/>
              <w:bottom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433.17</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60E5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E012F">
        <w:trPr>
          <w:trHeight w:val="321"/>
        </w:trPr>
        <w:tc>
          <w:tcPr>
            <w:tcW w:w="15417" w:type="dxa"/>
            <w:gridSpan w:val="5"/>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w:t>
            </w:r>
          </w:p>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2778" w:type="dxa"/>
            <w:tcBorders>
              <w:left w:val="single" w:sz="6" w:space="0" w:color="000000"/>
              <w:bottom w:val="single" w:sz="6" w:space="0" w:color="000000"/>
            </w:tcBorders>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3155" w:type="dxa"/>
            <w:tcBorders>
              <w:left w:val="single" w:sz="6" w:space="0" w:color="000000"/>
              <w:bottom w:val="single" w:sz="6" w:space="0" w:color="000000"/>
              <w:right w:val="single" w:sz="6" w:space="0" w:color="000000"/>
            </w:tcBorders>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7.82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7.82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70.64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70.64</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E60E56">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E012F">
        <w:trPr>
          <w:trHeight w:val="319"/>
        </w:trPr>
        <w:tc>
          <w:tcPr>
            <w:tcW w:w="10515" w:type="dxa"/>
            <w:gridSpan w:val="5"/>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E60E5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1896" w:type="dxa"/>
            <w:vAlign w:val="center"/>
          </w:tcPr>
          <w:p w:rsidR="006E012F" w:rsidRDefault="00E60E5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2040"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333.71</w:t>
            </w:r>
          </w:p>
        </w:tc>
        <w:tc>
          <w:tcPr>
            <w:tcW w:w="1896"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312.05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312.05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35.42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35.42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112.60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112.60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62.25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62.25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9.07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2.55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2.55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22.96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22.96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5.83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lastRenderedPageBreak/>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4.28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4.28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0.09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0.09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6.61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6.61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21.66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21.66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21.35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21.35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lastRenderedPageBreak/>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0.31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lastRenderedPageBreak/>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60E5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E012F">
        <w:trPr>
          <w:trHeight w:val="560"/>
        </w:trPr>
        <w:tc>
          <w:tcPr>
            <w:tcW w:w="10446" w:type="dxa"/>
            <w:gridSpan w:val="5"/>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E60E5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011" w:type="dxa"/>
            <w:gridSpan w:val="2"/>
          </w:tcPr>
          <w:p w:rsidR="006E012F" w:rsidRDefault="00E60E5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1499" w:type="dxa"/>
            <w:tcBorders>
              <w:left w:val="single" w:sz="6" w:space="0" w:color="000000"/>
              <w:bottom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1512" w:type="dxa"/>
            <w:tcBorders>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港澳台事务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2012501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217.83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48.82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7.82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7.82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96.83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70.64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70.64</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E60E5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E012F">
        <w:trPr>
          <w:trHeight w:val="319"/>
        </w:trPr>
        <w:tc>
          <w:tcPr>
            <w:tcW w:w="10473" w:type="dxa"/>
            <w:gridSpan w:val="5"/>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1878" w:type="dxa"/>
            <w:vAlign w:val="center"/>
          </w:tcPr>
          <w:p w:rsidR="006E012F" w:rsidRDefault="00E60E5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363.49</w:t>
            </w:r>
          </w:p>
        </w:tc>
        <w:tc>
          <w:tcPr>
            <w:tcW w:w="1708"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333.71</w:t>
            </w:r>
          </w:p>
        </w:tc>
        <w:tc>
          <w:tcPr>
            <w:tcW w:w="1878"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312.05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312.05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35.42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35.42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112.60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112.60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62.25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62.25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27.34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13.67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9.07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26.19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2.55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2.55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22.96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22.96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5.83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lastRenderedPageBreak/>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4.28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4.28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1.18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0.09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0.09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3.36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6.61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6.61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21.66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21.66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21.35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21.35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lastRenderedPageBreak/>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0.31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lastRenderedPageBreak/>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60E5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E60E5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8274" w:type="dxa"/>
            <w:gridSpan w:val="8"/>
            <w:tcBorders>
              <w:bottom w:val="single" w:sz="4" w:space="0" w:color="auto"/>
            </w:tcBorders>
          </w:tcPr>
          <w:p w:rsidR="006E012F" w:rsidRDefault="00E60E5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E60E5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E60E5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w:t>
            </w:r>
          </w:p>
          <w:p w:rsidR="006E012F" w:rsidRDefault="00E60E5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w:t>
            </w:r>
          </w:p>
          <w:p w:rsidR="006E012F" w:rsidRDefault="00E60E5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0.77</w:t>
            </w:r>
          </w:p>
        </w:tc>
        <w:tc>
          <w:tcPr>
            <w:tcW w:w="1042"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0.77</w:t>
            </w:r>
          </w:p>
        </w:tc>
        <w:tc>
          <w:tcPr>
            <w:tcW w:w="1043" w:type="dxa"/>
            <w:tcBorders>
              <w:left w:val="single" w:sz="4" w:space="0" w:color="000000"/>
              <w:bottom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0.20</w:t>
            </w:r>
          </w:p>
        </w:tc>
        <w:tc>
          <w:tcPr>
            <w:tcW w:w="1010"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0.30</w:t>
            </w:r>
          </w:p>
        </w:tc>
        <w:tc>
          <w:tcPr>
            <w:tcW w:w="1058"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6E012F" w:rsidRDefault="00E60E5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0</w:t>
            </w:r>
          </w:p>
        </w:tc>
      </w:tr>
    </w:tbl>
    <w:p w:rsidR="006E012F" w:rsidRDefault="00E60E5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rsidP="00F7268F">
      <w:pPr>
        <w:ind w:left="227" w:firstLineChars="100" w:firstLine="231"/>
        <w:jc w:val="both"/>
        <w:rPr>
          <w:rFonts w:ascii="仿宋" w:eastAsia="仿宋" w:hAnsi="仿宋" w:cs="仿宋"/>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E012F">
        <w:trPr>
          <w:trHeight w:val="395"/>
        </w:trPr>
        <w:tc>
          <w:tcPr>
            <w:tcW w:w="15400" w:type="dxa"/>
            <w:gridSpan w:val="5"/>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1858"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w:t>
            </w:r>
          </w:p>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60E5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E60E56">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E012F">
        <w:trPr>
          <w:trHeight w:val="395"/>
        </w:trPr>
        <w:tc>
          <w:tcPr>
            <w:tcW w:w="15400" w:type="dxa"/>
            <w:gridSpan w:val="5"/>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2061"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功能分类</w:t>
            </w:r>
          </w:p>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60E56">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E60E5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E012F">
        <w:trPr>
          <w:trHeight w:val="319"/>
        </w:trPr>
        <w:tc>
          <w:tcPr>
            <w:tcW w:w="10466" w:type="dxa"/>
            <w:gridSpan w:val="3"/>
          </w:tcPr>
          <w:p w:rsidR="006E012F" w:rsidRDefault="00E60E5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E60E5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834" w:type="dxa"/>
            <w:vAlign w:val="center"/>
          </w:tcPr>
          <w:p w:rsidR="006E012F" w:rsidRDefault="00E60E5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E60E5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E60E56">
            <w:pPr>
              <w:pStyle w:val="TableParagraph"/>
              <w:jc w:val="right"/>
              <w:rPr>
                <w:rFonts w:ascii="仿宋" w:eastAsia="仿宋" w:hAnsi="仿宋" w:cs="仿宋"/>
              </w:rPr>
            </w:pPr>
            <w:r>
              <w:rPr>
                <w:rFonts w:ascii="仿宋" w:eastAsia="仿宋" w:hAnsi="仿宋" w:cs="仿宋" w:hint="eastAsia"/>
              </w:rPr>
              <w:t>29.78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29.78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5.17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1.02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5.83</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4.28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1.18</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0.09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3.36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lastRenderedPageBreak/>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6.61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E60E56">
            <w:pPr>
              <w:jc w:val="right"/>
              <w:rPr>
                <w:rFonts w:ascii="仿宋" w:eastAsia="仿宋" w:hAnsi="仿宋" w:cs="仿宋"/>
              </w:rPr>
            </w:pPr>
            <w:r>
              <w:rPr>
                <w:rFonts w:ascii="仿宋" w:eastAsia="仿宋" w:hAnsi="仿宋" w:cs="仿宋" w:hint="eastAsia"/>
              </w:rPr>
              <w:t>2.24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E60E5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E012F">
        <w:trPr>
          <w:trHeight w:val="333"/>
        </w:trPr>
        <w:tc>
          <w:tcPr>
            <w:tcW w:w="10459" w:type="dxa"/>
            <w:gridSpan w:val="4"/>
            <w:vAlign w:val="center"/>
          </w:tcPr>
          <w:p w:rsidR="006E012F" w:rsidRDefault="00E60E5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E60E5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E60E5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南京市台商投资保护和促进服务中心</w:t>
            </w:r>
          </w:p>
        </w:tc>
        <w:tc>
          <w:tcPr>
            <w:tcW w:w="3273" w:type="dxa"/>
            <w:vAlign w:val="center"/>
          </w:tcPr>
          <w:p w:rsidR="006E012F" w:rsidRDefault="00E60E56">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E60E5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E60E5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E60E5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E60E5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6E012F" w:rsidRPr="00CF349C" w:rsidRDefault="00E60E56">
      <w:pPr>
        <w:ind w:leftChars="200" w:left="440"/>
        <w:jc w:val="both"/>
        <w:rPr>
          <w:rFonts w:ascii="仿宋" w:eastAsia="仿宋" w:hAnsi="仿宋" w:cs="仿宋"/>
          <w:lang w:val="en-US"/>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无政府采购支出决算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E60E5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一、收入支出决算总体情况说明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433.45</w:t>
      </w:r>
      <w:r>
        <w:rPr>
          <w:rFonts w:ascii="仿宋" w:eastAsia="仿宋" w:hAnsi="仿宋" w:cs="仿宋"/>
        </w:rPr>
        <w:t>万元。与上年相比，收、支总计各减少</w:t>
      </w:r>
      <w:r>
        <w:rPr>
          <w:rFonts w:ascii="仿宋" w:eastAsia="仿宋" w:hAnsi="仿宋" w:cs="仿宋"/>
        </w:rPr>
        <w:t>7.81</w:t>
      </w:r>
      <w:r>
        <w:rPr>
          <w:rFonts w:ascii="仿宋" w:eastAsia="仿宋" w:hAnsi="仿宋" w:cs="仿宋"/>
        </w:rPr>
        <w:t>万元，减少</w:t>
      </w:r>
      <w:r>
        <w:rPr>
          <w:rFonts w:ascii="仿宋" w:eastAsia="仿宋" w:hAnsi="仿宋" w:cs="仿宋"/>
        </w:rPr>
        <w:t>1.77%</w:t>
      </w:r>
      <w:r>
        <w:rPr>
          <w:rFonts w:ascii="仿宋" w:eastAsia="仿宋" w:hAnsi="仿宋" w:cs="仿宋"/>
        </w:rPr>
        <w:t>。其中：</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433.45</w:t>
      </w:r>
      <w:r>
        <w:rPr>
          <w:rFonts w:ascii="仿宋" w:eastAsia="仿宋" w:hAnsi="仿宋" w:cs="仿宋"/>
          <w:b/>
        </w:rPr>
        <w:t>万元。包括：</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365.55</w:t>
      </w:r>
      <w:r>
        <w:rPr>
          <w:rFonts w:ascii="仿宋" w:eastAsia="仿宋" w:hAnsi="仿宋" w:cs="仿宋"/>
        </w:rPr>
        <w:t>万元。与上年相比，减少</w:t>
      </w:r>
      <w:r>
        <w:rPr>
          <w:rFonts w:ascii="仿宋" w:eastAsia="仿宋" w:hAnsi="仿宋" w:cs="仿宋"/>
        </w:rPr>
        <w:t>36.61</w:t>
      </w:r>
      <w:r>
        <w:rPr>
          <w:rFonts w:ascii="仿宋" w:eastAsia="仿宋" w:hAnsi="仿宋" w:cs="仿宋"/>
        </w:rPr>
        <w:t>万元，减少</w:t>
      </w:r>
      <w:r>
        <w:rPr>
          <w:rFonts w:ascii="仿宋" w:eastAsia="仿宋" w:hAnsi="仿宋" w:cs="仿宋"/>
        </w:rPr>
        <w:t>9.1%</w:t>
      </w:r>
      <w:r>
        <w:rPr>
          <w:rFonts w:ascii="仿宋" w:eastAsia="仿宋" w:hAnsi="仿宋" w:cs="仿宋"/>
        </w:rPr>
        <w:t>，变动原因：收支经费压减。</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67.9</w:t>
      </w:r>
      <w:r>
        <w:rPr>
          <w:rFonts w:ascii="仿宋" w:eastAsia="仿宋" w:hAnsi="仿宋" w:cs="仿宋"/>
        </w:rPr>
        <w:t>万元。与上年相比，增加</w:t>
      </w:r>
      <w:r>
        <w:rPr>
          <w:rFonts w:ascii="仿宋" w:eastAsia="仿宋" w:hAnsi="仿宋" w:cs="仿宋"/>
        </w:rPr>
        <w:t>28.8</w:t>
      </w:r>
      <w:r>
        <w:rPr>
          <w:rFonts w:ascii="仿宋" w:eastAsia="仿宋" w:hAnsi="仿宋" w:cs="仿宋"/>
        </w:rPr>
        <w:t>万元，增长</w:t>
      </w:r>
      <w:r>
        <w:rPr>
          <w:rFonts w:ascii="仿宋" w:eastAsia="仿宋" w:hAnsi="仿宋" w:cs="仿宋"/>
        </w:rPr>
        <w:t>73.66%</w:t>
      </w:r>
      <w:r>
        <w:rPr>
          <w:rFonts w:ascii="仿宋" w:eastAsia="仿宋" w:hAnsi="仿宋" w:cs="仿宋"/>
        </w:rPr>
        <w:t>，变动原因：南京市台商投资保护和促进服务中心当年年初结转和结余增加。</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433.45</w:t>
      </w:r>
      <w:r>
        <w:rPr>
          <w:rFonts w:ascii="仿宋" w:eastAsia="仿宋" w:hAnsi="仿宋" w:cs="仿宋"/>
          <w:b/>
        </w:rPr>
        <w:t>万元。包括：</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w:t>
      </w:r>
      <w:r>
        <w:rPr>
          <w:rFonts w:ascii="仿宋" w:eastAsia="仿宋" w:hAnsi="仿宋" w:cs="仿宋"/>
        </w:rPr>
        <w:t>本年支出决算合计</w:t>
      </w:r>
      <w:r>
        <w:rPr>
          <w:rFonts w:ascii="仿宋" w:eastAsia="仿宋" w:hAnsi="仿宋" w:cs="仿宋"/>
        </w:rPr>
        <w:t>363.76</w:t>
      </w:r>
      <w:r>
        <w:rPr>
          <w:rFonts w:ascii="仿宋" w:eastAsia="仿宋" w:hAnsi="仿宋" w:cs="仿宋"/>
        </w:rPr>
        <w:t>万元。与上年相比，减少</w:t>
      </w:r>
      <w:r>
        <w:rPr>
          <w:rFonts w:ascii="仿宋" w:eastAsia="仿宋" w:hAnsi="仿宋" w:cs="仿宋"/>
        </w:rPr>
        <w:t>30.08</w:t>
      </w:r>
      <w:r>
        <w:rPr>
          <w:rFonts w:ascii="仿宋" w:eastAsia="仿宋" w:hAnsi="仿宋" w:cs="仿宋"/>
        </w:rPr>
        <w:t>万元，减少</w:t>
      </w:r>
      <w:r>
        <w:rPr>
          <w:rFonts w:ascii="仿宋" w:eastAsia="仿宋" w:hAnsi="仿宋" w:cs="仿宋"/>
        </w:rPr>
        <w:t>7.64%</w:t>
      </w:r>
      <w:r>
        <w:rPr>
          <w:rFonts w:ascii="仿宋" w:eastAsia="仿宋" w:hAnsi="仿宋" w:cs="仿宋"/>
        </w:rPr>
        <w:t>，变动原因：收支经费压减。</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69.69</w:t>
      </w:r>
      <w:r>
        <w:rPr>
          <w:rFonts w:ascii="仿宋" w:eastAsia="仿宋" w:hAnsi="仿宋" w:cs="仿宋"/>
        </w:rPr>
        <w:t>万元。结转和结余事项：银行</w:t>
      </w:r>
      <w:r>
        <w:rPr>
          <w:rFonts w:ascii="仿宋" w:eastAsia="仿宋" w:hAnsi="仿宋" w:cs="仿宋"/>
        </w:rPr>
        <w:lastRenderedPageBreak/>
        <w:t>托收户预扣个税、养老保险等。与上年相比，增加</w:t>
      </w:r>
      <w:r>
        <w:rPr>
          <w:rFonts w:ascii="仿宋" w:eastAsia="仿宋" w:hAnsi="仿宋" w:cs="仿宋"/>
        </w:rPr>
        <w:t>22.27</w:t>
      </w:r>
      <w:r>
        <w:rPr>
          <w:rFonts w:ascii="仿宋" w:eastAsia="仿宋" w:hAnsi="仿宋" w:cs="仿宋"/>
        </w:rPr>
        <w:t>万元，增长</w:t>
      </w:r>
      <w:r>
        <w:rPr>
          <w:rFonts w:ascii="仿宋" w:eastAsia="仿宋" w:hAnsi="仿宋" w:cs="仿宋"/>
        </w:rPr>
        <w:t>46.96%</w:t>
      </w:r>
      <w:r>
        <w:rPr>
          <w:rFonts w:ascii="仿宋" w:eastAsia="仿宋" w:hAnsi="仿宋" w:cs="仿宋"/>
        </w:rPr>
        <w:t>，变动原因：银行托收户预扣个税、养老保险等增加。</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365.55</w:t>
      </w:r>
      <w:r>
        <w:rPr>
          <w:rFonts w:ascii="仿宋" w:eastAsia="仿宋" w:hAnsi="仿宋" w:cs="仿宋"/>
        </w:rPr>
        <w:t>万元，其中：财政拨款收入</w:t>
      </w:r>
      <w:r>
        <w:rPr>
          <w:rFonts w:ascii="仿宋" w:eastAsia="仿宋" w:hAnsi="仿宋" w:cs="仿宋"/>
        </w:rPr>
        <w:t>365.4</w:t>
      </w:r>
      <w:r>
        <w:rPr>
          <w:rFonts w:ascii="仿宋" w:eastAsia="仿宋" w:hAnsi="仿宋" w:cs="仿宋"/>
        </w:rPr>
        <w:t>万元，占</w:t>
      </w:r>
      <w:r>
        <w:rPr>
          <w:rFonts w:ascii="仿宋" w:eastAsia="仿宋" w:hAnsi="仿宋" w:cs="仿宋"/>
        </w:rPr>
        <w:t>99.96%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0.15</w:t>
      </w:r>
      <w:r>
        <w:rPr>
          <w:rFonts w:ascii="仿宋" w:eastAsia="仿宋" w:hAnsi="仿宋" w:cs="仿宋"/>
        </w:rPr>
        <w:t>万元，占</w:t>
      </w:r>
      <w:r>
        <w:rPr>
          <w:rFonts w:ascii="仿宋" w:eastAsia="仿宋" w:hAnsi="仿宋" w:cs="仿宋"/>
        </w:rPr>
        <w:t>0.04%</w:t>
      </w:r>
      <w:r>
        <w:rPr>
          <w:rFonts w:ascii="仿宋" w:eastAsia="仿宋" w:hAnsi="仿宋" w:cs="仿宋"/>
        </w:rPr>
        <w:t>。</w:t>
      </w:r>
    </w:p>
    <w:p w:rsidR="006E012F" w:rsidRDefault="00E60E5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2" cstate="print"/>
                    <a:stretch>
                      <a:fillRect/>
                    </a:stretch>
                  </pic:blipFill>
                  <pic:spPr>
                    <a:xfrm>
                      <a:off x="0" y="0"/>
                      <a:ext cx="6134100" cy="3429000"/>
                    </a:xfrm>
                    <a:prstGeom prst="rect">
                      <a:avLst/>
                    </a:prstGeom>
                  </pic:spPr>
                </pic:pic>
              </a:graphicData>
            </a:graphic>
          </wp:inline>
        </w:drawing>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lastRenderedPageBreak/>
        <w:t>三、支出决算情况说明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363.76</w:t>
      </w:r>
      <w:r>
        <w:rPr>
          <w:rFonts w:ascii="仿宋" w:eastAsia="仿宋" w:hAnsi="仿宋" w:cs="仿宋"/>
        </w:rPr>
        <w:t>万元，其中：基本支出</w:t>
      </w:r>
      <w:r>
        <w:rPr>
          <w:rFonts w:ascii="仿宋" w:eastAsia="仿宋" w:hAnsi="仿宋" w:cs="仿宋"/>
        </w:rPr>
        <w:t>363.76</w:t>
      </w:r>
      <w:r>
        <w:rPr>
          <w:rFonts w:ascii="仿宋" w:eastAsia="仿宋" w:hAnsi="仿宋" w:cs="仿宋"/>
        </w:rPr>
        <w:t>万元，占</w:t>
      </w:r>
      <w:r>
        <w:rPr>
          <w:rFonts w:ascii="仿宋" w:eastAsia="仿宋" w:hAnsi="仿宋" w:cs="仿宋"/>
        </w:rPr>
        <w:t>100%</w:t>
      </w:r>
      <w:r>
        <w:rPr>
          <w:rFonts w:ascii="仿宋" w:eastAsia="仿宋" w:hAnsi="仿宋" w:cs="仿宋"/>
        </w:rPr>
        <w:t>；项目支出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E60E5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四、财政拨款收入支出决算总体情况说明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433.17</w:t>
      </w:r>
      <w:r>
        <w:rPr>
          <w:rFonts w:ascii="仿宋" w:eastAsia="仿宋" w:hAnsi="仿宋" w:cs="仿宋"/>
        </w:rPr>
        <w:t>万元。与上年相比，收、支总计各减少</w:t>
      </w:r>
      <w:r>
        <w:rPr>
          <w:rFonts w:ascii="仿宋" w:eastAsia="仿宋" w:hAnsi="仿宋" w:cs="仿宋"/>
        </w:rPr>
        <w:t>7.96</w:t>
      </w:r>
      <w:r>
        <w:rPr>
          <w:rFonts w:ascii="仿宋" w:eastAsia="仿宋" w:hAnsi="仿宋" w:cs="仿宋"/>
        </w:rPr>
        <w:t>万元，减少</w:t>
      </w:r>
      <w:r>
        <w:rPr>
          <w:rFonts w:ascii="仿宋" w:eastAsia="仿宋" w:hAnsi="仿宋" w:cs="仿宋"/>
        </w:rPr>
        <w:t>1.8%</w:t>
      </w:r>
      <w:r>
        <w:rPr>
          <w:rFonts w:ascii="仿宋" w:eastAsia="仿宋" w:hAnsi="仿宋" w:cs="仿宋"/>
        </w:rPr>
        <w:t>，变动原因：压减经费支出。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363.49</w:t>
      </w:r>
      <w:r>
        <w:rPr>
          <w:rFonts w:ascii="仿宋" w:eastAsia="仿宋" w:hAnsi="仿宋" w:cs="仿宋"/>
        </w:rPr>
        <w:t>万元，占本年支出合计的</w:t>
      </w:r>
      <w:r>
        <w:rPr>
          <w:rFonts w:ascii="仿宋" w:eastAsia="仿宋" w:hAnsi="仿宋" w:cs="仿宋"/>
        </w:rPr>
        <w:t>99.93%</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336.41</w:t>
      </w:r>
      <w:r>
        <w:rPr>
          <w:rFonts w:ascii="仿宋" w:eastAsia="仿宋" w:hAnsi="仿宋" w:cs="仿宋"/>
        </w:rPr>
        <w:t>万元相比，完成年初预算的</w:t>
      </w:r>
      <w:r>
        <w:rPr>
          <w:rFonts w:ascii="仿宋" w:eastAsia="仿宋" w:hAnsi="仿宋" w:cs="仿宋"/>
        </w:rPr>
        <w:t>108.05%</w:t>
      </w:r>
      <w:r>
        <w:rPr>
          <w:rFonts w:ascii="仿宋" w:eastAsia="仿宋" w:hAnsi="仿宋" w:cs="仿宋"/>
        </w:rPr>
        <w:t>。其中：</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（一）一般公共服务支出（类）</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港澳台事务（款）行政运行（项）。年初预算</w:t>
      </w:r>
      <w:r>
        <w:rPr>
          <w:rFonts w:ascii="仿宋" w:eastAsia="仿宋" w:hAnsi="仿宋" w:cs="仿宋"/>
        </w:rPr>
        <w:t>209.55</w:t>
      </w:r>
      <w:r>
        <w:rPr>
          <w:rFonts w:ascii="仿宋" w:eastAsia="仿宋" w:hAnsi="仿宋" w:cs="仿宋"/>
        </w:rPr>
        <w:t>万元，支出决算</w:t>
      </w:r>
      <w:r>
        <w:rPr>
          <w:rFonts w:ascii="仿宋" w:eastAsia="仿宋" w:hAnsi="仿宋" w:cs="仿宋"/>
        </w:rPr>
        <w:t>217.83</w:t>
      </w:r>
      <w:r>
        <w:rPr>
          <w:rFonts w:ascii="仿宋" w:eastAsia="仿宋" w:hAnsi="仿宋" w:cs="仿宋"/>
        </w:rPr>
        <w:t>万元，完成年初预算的</w:t>
      </w:r>
      <w:r>
        <w:rPr>
          <w:rFonts w:ascii="仿宋" w:eastAsia="仿宋" w:hAnsi="仿宋" w:cs="仿宋"/>
        </w:rPr>
        <w:t>103.95%</w:t>
      </w:r>
      <w:r>
        <w:rPr>
          <w:rFonts w:ascii="仿宋" w:eastAsia="仿宋" w:hAnsi="仿宋" w:cs="仿宋"/>
        </w:rPr>
        <w:t>。决算数与年初预算数的差异原因：养老保险政策调整。</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港澳台事务（款）台湾事务（项）。年初预算</w:t>
      </w:r>
      <w:r>
        <w:rPr>
          <w:rFonts w:ascii="仿宋" w:eastAsia="仿宋" w:hAnsi="仿宋" w:cs="仿宋"/>
        </w:rPr>
        <w:t>2</w:t>
      </w:r>
      <w:r>
        <w:rPr>
          <w:rFonts w:ascii="仿宋" w:eastAsia="仿宋" w:hAnsi="仿宋" w:cs="仿宋"/>
        </w:rPr>
        <w:t>万元，支出决算</w:t>
      </w:r>
      <w:r>
        <w:rPr>
          <w:rFonts w:ascii="仿宋" w:eastAsia="仿宋" w:hAnsi="仿宋" w:cs="仿宋"/>
        </w:rPr>
        <w:t>0</w:t>
      </w:r>
      <w:r>
        <w:rPr>
          <w:rFonts w:ascii="仿宋" w:eastAsia="仿宋" w:hAnsi="仿宋" w:cs="仿宋"/>
        </w:rPr>
        <w:t>万元，完成年初预算的</w:t>
      </w:r>
      <w:r>
        <w:rPr>
          <w:rFonts w:ascii="仿宋" w:eastAsia="仿宋" w:hAnsi="仿宋" w:cs="仿宋"/>
        </w:rPr>
        <w:t>0%</w:t>
      </w:r>
      <w:r>
        <w:rPr>
          <w:rFonts w:ascii="仿宋" w:eastAsia="仿宋" w:hAnsi="仿宋" w:cs="仿宋"/>
        </w:rPr>
        <w:t>。决算数与年初预算数的差异原因：调整预算支出。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（二）社会</w:t>
      </w:r>
      <w:r>
        <w:rPr>
          <w:rFonts w:ascii="仿宋" w:eastAsia="仿宋" w:hAnsi="仿宋" w:cs="仿宋"/>
          <w:b/>
        </w:rPr>
        <w:t>保障和就业支出（类）</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7.31</w:t>
      </w:r>
      <w:r>
        <w:rPr>
          <w:rFonts w:ascii="仿宋" w:eastAsia="仿宋" w:hAnsi="仿宋" w:cs="仿宋"/>
        </w:rPr>
        <w:t>万元，支出决算</w:t>
      </w:r>
      <w:r>
        <w:rPr>
          <w:rFonts w:ascii="仿宋" w:eastAsia="仿宋" w:hAnsi="仿宋" w:cs="仿宋"/>
        </w:rPr>
        <w:t>7.82</w:t>
      </w:r>
      <w:r>
        <w:rPr>
          <w:rFonts w:ascii="仿宋" w:eastAsia="仿宋" w:hAnsi="仿宋" w:cs="仿宋"/>
        </w:rPr>
        <w:t>万元，完成年初预算的</w:t>
      </w:r>
      <w:r>
        <w:rPr>
          <w:rFonts w:ascii="仿宋" w:eastAsia="仿宋" w:hAnsi="仿宋" w:cs="仿宋"/>
        </w:rPr>
        <w:lastRenderedPageBreak/>
        <w:t>106.98%</w:t>
      </w:r>
      <w:r>
        <w:rPr>
          <w:rFonts w:ascii="仿宋" w:eastAsia="仿宋" w:hAnsi="仿宋" w:cs="仿宋"/>
        </w:rPr>
        <w:t>。决算数与年初预算数的差异原因：退休</w:t>
      </w:r>
      <w:r>
        <w:rPr>
          <w:rFonts w:ascii="仿宋" w:eastAsia="仿宋" w:hAnsi="仿宋" w:cs="仿宋"/>
        </w:rPr>
        <w:t>1</w:t>
      </w:r>
      <w:r>
        <w:rPr>
          <w:rFonts w:ascii="仿宋" w:eastAsia="仿宋" w:hAnsi="仿宋" w:cs="仿宋"/>
        </w:rPr>
        <w:t>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13.35</w:t>
      </w:r>
      <w:r>
        <w:rPr>
          <w:rFonts w:ascii="仿宋" w:eastAsia="仿宋" w:hAnsi="仿宋" w:cs="仿宋"/>
        </w:rPr>
        <w:t>万元，支出决算</w:t>
      </w:r>
      <w:r>
        <w:rPr>
          <w:rFonts w:ascii="仿宋" w:eastAsia="仿宋" w:hAnsi="仿宋" w:cs="仿宋"/>
        </w:rPr>
        <w:t>27.34</w:t>
      </w:r>
      <w:r>
        <w:rPr>
          <w:rFonts w:ascii="仿宋" w:eastAsia="仿宋" w:hAnsi="仿宋" w:cs="仿宋"/>
        </w:rPr>
        <w:t>万元，完成年初预算的</w:t>
      </w:r>
      <w:r>
        <w:rPr>
          <w:rFonts w:ascii="仿宋" w:eastAsia="仿宋" w:hAnsi="仿宋" w:cs="仿宋"/>
        </w:rPr>
        <w:t>204.79%</w:t>
      </w:r>
      <w:r>
        <w:rPr>
          <w:rFonts w:ascii="仿宋" w:eastAsia="仿宋" w:hAnsi="仿宋" w:cs="仿宋"/>
        </w:rPr>
        <w:t>。决算数与年初预算数的差异原因：养老保险政策调整。</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6.68</w:t>
      </w:r>
      <w:r>
        <w:rPr>
          <w:rFonts w:ascii="仿宋" w:eastAsia="仿宋" w:hAnsi="仿宋" w:cs="仿宋"/>
        </w:rPr>
        <w:t>万元，支出决算</w:t>
      </w:r>
      <w:r>
        <w:rPr>
          <w:rFonts w:ascii="仿宋" w:eastAsia="仿宋" w:hAnsi="仿宋" w:cs="仿宋"/>
        </w:rPr>
        <w:t>13.67</w:t>
      </w:r>
      <w:r>
        <w:rPr>
          <w:rFonts w:ascii="仿宋" w:eastAsia="仿宋" w:hAnsi="仿宋" w:cs="仿宋"/>
        </w:rPr>
        <w:t>万元，完成年初预算</w:t>
      </w:r>
      <w:r>
        <w:rPr>
          <w:rFonts w:ascii="仿宋" w:eastAsia="仿宋" w:hAnsi="仿宋" w:cs="仿宋"/>
        </w:rPr>
        <w:t>的</w:t>
      </w:r>
      <w:r>
        <w:rPr>
          <w:rFonts w:ascii="仿宋" w:eastAsia="仿宋" w:hAnsi="仿宋" w:cs="仿宋"/>
        </w:rPr>
        <w:t>204.64%</w:t>
      </w:r>
      <w:r>
        <w:rPr>
          <w:rFonts w:ascii="仿宋" w:eastAsia="仿宋" w:hAnsi="仿宋" w:cs="仿宋"/>
        </w:rPr>
        <w:t>。决算数与年初预算数的差异原因：养老保险政策调整。</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（三）住房保障支出（类）</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26.88</w:t>
      </w:r>
      <w:r>
        <w:rPr>
          <w:rFonts w:ascii="仿宋" w:eastAsia="仿宋" w:hAnsi="仿宋" w:cs="仿宋"/>
        </w:rPr>
        <w:t>万元，支出决算</w:t>
      </w:r>
      <w:r>
        <w:rPr>
          <w:rFonts w:ascii="仿宋" w:eastAsia="仿宋" w:hAnsi="仿宋" w:cs="仿宋"/>
        </w:rPr>
        <w:t>26.19</w:t>
      </w:r>
      <w:r>
        <w:rPr>
          <w:rFonts w:ascii="仿宋" w:eastAsia="仿宋" w:hAnsi="仿宋" w:cs="仿宋"/>
        </w:rPr>
        <w:t>万元，完成年初预算的</w:t>
      </w:r>
      <w:r>
        <w:rPr>
          <w:rFonts w:ascii="仿宋" w:eastAsia="仿宋" w:hAnsi="仿宋" w:cs="仿宋"/>
        </w:rPr>
        <w:t>97.43%</w:t>
      </w:r>
      <w:r>
        <w:rPr>
          <w:rFonts w:ascii="仿宋" w:eastAsia="仿宋" w:hAnsi="仿宋" w:cs="仿宋"/>
        </w:rPr>
        <w:t>。决算数与年初预算数的差异原因：退休</w:t>
      </w:r>
      <w:r>
        <w:rPr>
          <w:rFonts w:ascii="仿宋" w:eastAsia="仿宋" w:hAnsi="仿宋" w:cs="仿宋"/>
        </w:rPr>
        <w:t>1</w:t>
      </w:r>
      <w:r>
        <w:rPr>
          <w:rFonts w:ascii="仿宋" w:eastAsia="仿宋" w:hAnsi="仿宋" w:cs="仿宋"/>
        </w:rPr>
        <w:t>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70.64</w:t>
      </w:r>
      <w:r>
        <w:rPr>
          <w:rFonts w:ascii="仿宋" w:eastAsia="仿宋" w:hAnsi="仿宋" w:cs="仿宋"/>
        </w:rPr>
        <w:t>万元，支出决算</w:t>
      </w:r>
      <w:r>
        <w:rPr>
          <w:rFonts w:ascii="仿宋" w:eastAsia="仿宋" w:hAnsi="仿宋" w:cs="仿宋"/>
        </w:rPr>
        <w:t>70.64</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年度财政拨款基本支出决算</w:t>
      </w:r>
      <w:r>
        <w:rPr>
          <w:rFonts w:ascii="仿宋" w:eastAsia="仿宋" w:hAnsi="仿宋" w:cs="仿宋"/>
        </w:rPr>
        <w:t>363.49</w:t>
      </w:r>
      <w:r>
        <w:rPr>
          <w:rFonts w:ascii="仿宋" w:eastAsia="仿宋" w:hAnsi="仿宋" w:cs="仿宋"/>
        </w:rPr>
        <w:t>万元，其中：</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333.71</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主要包括：基本工资、津贴补贴、奖金、机关事业单位基本养老保险缴费、职业年金缴费、职工基本医疗保险缴费、住房公积金、医疗费、其他工资福利支出、退休费、其他对个人和家庭的补助。</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29.78</w:t>
      </w:r>
      <w:r>
        <w:rPr>
          <w:rFonts w:ascii="楷体" w:eastAsia="楷体" w:hAnsi="楷体" w:cs="楷体"/>
        </w:rPr>
        <w:t>万元。</w:t>
      </w:r>
      <w:r>
        <w:rPr>
          <w:rFonts w:ascii="仿宋" w:eastAsia="仿宋" w:hAnsi="仿宋" w:cs="仿宋"/>
        </w:rPr>
        <w:t>主要包括：办公费、电费、邮电费、物业管理费、差旅费、维修（护）费、工会经费、其他交通费用、其他商品和服务支出。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363.49</w:t>
      </w:r>
      <w:r>
        <w:rPr>
          <w:rFonts w:ascii="仿宋" w:eastAsia="仿宋" w:hAnsi="仿宋" w:cs="仿宋"/>
        </w:rPr>
        <w:t>万元。与上年相比，减少</w:t>
      </w:r>
      <w:r>
        <w:rPr>
          <w:rFonts w:ascii="仿宋" w:eastAsia="仿宋" w:hAnsi="仿宋" w:cs="仿宋"/>
        </w:rPr>
        <w:t>30.35</w:t>
      </w:r>
      <w:r>
        <w:rPr>
          <w:rFonts w:ascii="仿宋" w:eastAsia="仿宋" w:hAnsi="仿宋" w:cs="仿宋"/>
        </w:rPr>
        <w:t>万元，减少</w:t>
      </w:r>
      <w:r>
        <w:rPr>
          <w:rFonts w:ascii="仿宋" w:eastAsia="仿宋" w:hAnsi="仿宋" w:cs="仿宋"/>
        </w:rPr>
        <w:t>7.71%</w:t>
      </w:r>
      <w:r>
        <w:rPr>
          <w:rFonts w:ascii="仿宋" w:eastAsia="仿宋" w:hAnsi="仿宋" w:cs="仿宋"/>
        </w:rPr>
        <w:t>，变动原因：压减经费支出。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363.49</w:t>
      </w:r>
      <w:r>
        <w:rPr>
          <w:rFonts w:ascii="仿宋" w:eastAsia="仿宋" w:hAnsi="仿宋" w:cs="仿宋"/>
        </w:rPr>
        <w:t>万元，其中：</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（一）人员经费</w:t>
      </w:r>
      <w:r>
        <w:rPr>
          <w:rFonts w:ascii="楷体" w:eastAsia="楷体" w:hAnsi="楷体" w:cs="楷体"/>
        </w:rPr>
        <w:t>333.71</w:t>
      </w:r>
      <w:r>
        <w:rPr>
          <w:rFonts w:ascii="楷体" w:eastAsia="楷体" w:hAnsi="楷体" w:cs="楷体"/>
        </w:rPr>
        <w:t>万元。</w:t>
      </w:r>
      <w:r>
        <w:rPr>
          <w:rFonts w:ascii="仿宋" w:eastAsia="仿宋" w:hAnsi="仿宋" w:cs="仿宋"/>
        </w:rPr>
        <w:t>主要包括：基本工资、津贴补贴、奖金、机关事业单位基本养老保险缴费、职业年金</w:t>
      </w:r>
      <w:r>
        <w:rPr>
          <w:rFonts w:ascii="仿宋" w:eastAsia="仿宋" w:hAnsi="仿宋" w:cs="仿宋"/>
        </w:rPr>
        <w:lastRenderedPageBreak/>
        <w:t>缴费、职工基本医疗保险缴费、住房公积金、医疗费、其他工资福利支出、退休费、其他对个人和家庭的补助。</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楷体" w:eastAsia="楷体" w:hAnsi="楷体" w:cs="楷体"/>
        </w:rPr>
        <w:t>（二）公用经费</w:t>
      </w:r>
      <w:r>
        <w:rPr>
          <w:rFonts w:ascii="楷体" w:eastAsia="楷体" w:hAnsi="楷体" w:cs="楷体"/>
        </w:rPr>
        <w:t>29.78</w:t>
      </w:r>
      <w:r>
        <w:rPr>
          <w:rFonts w:ascii="楷体" w:eastAsia="楷体" w:hAnsi="楷体" w:cs="楷体"/>
        </w:rPr>
        <w:t>万元。</w:t>
      </w:r>
      <w:r>
        <w:rPr>
          <w:rFonts w:ascii="仿宋" w:eastAsia="仿宋" w:hAnsi="仿宋" w:cs="仿宋"/>
        </w:rPr>
        <w:t>主要包括：办公费、电费、邮电费、物业管理费、差旅费、维修（护）费、工会经费、其他交通费用、其他商品和服务支出。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w:t>
      </w: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w:t>
      </w:r>
      <w:r>
        <w:rPr>
          <w:rFonts w:ascii="仿宋" w:eastAsia="仿宋" w:hAnsi="仿宋" w:cs="仿宋"/>
        </w:rPr>
        <w:lastRenderedPageBreak/>
        <w:t>数相同</w:t>
      </w:r>
      <w:r>
        <w:rPr>
          <w:rFonts w:ascii="仿宋" w:eastAsia="仿宋" w:hAnsi="仿宋" w:cs="仿宋"/>
        </w:rPr>
        <w:t>。全年使用财政拨款涉及的出国（境）团组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w:t>
      </w:r>
      <w:r>
        <w:rPr>
          <w:rFonts w:ascii="仿宋" w:eastAsia="仿宋" w:hAnsi="仿宋" w:cs="仿宋"/>
        </w:rPr>
        <w:t>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0.77</w:t>
      </w:r>
      <w:r>
        <w:rPr>
          <w:rFonts w:ascii="仿宋" w:eastAsia="仿宋" w:hAnsi="仿宋" w:cs="仿宋"/>
        </w:rPr>
        <w:t>万元（其中：一般公共预算支出</w:t>
      </w:r>
      <w:r>
        <w:rPr>
          <w:rFonts w:ascii="仿宋" w:eastAsia="仿宋" w:hAnsi="仿宋" w:cs="仿宋"/>
        </w:rPr>
        <w:t>0.77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lastRenderedPageBreak/>
        <w:t>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，决算数与预算数的差异原因：公务接待费无支出。其中：国内公务接待支出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r>
        <w:rPr>
          <w:rFonts w:ascii="仿宋" w:eastAsia="仿宋" w:hAnsi="仿宋" w:cs="仿宋"/>
        </w:rPr>
        <w:t>。</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（三）财政拨款会议费支出决算情况说明。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0.2</w:t>
      </w:r>
      <w:r>
        <w:rPr>
          <w:rFonts w:ascii="仿宋" w:eastAsia="仿宋" w:hAnsi="仿宋" w:cs="仿宋"/>
        </w:rPr>
        <w:t>万元（其中：一般公共预算支出</w:t>
      </w:r>
      <w:r>
        <w:rPr>
          <w:rFonts w:ascii="仿宋" w:eastAsia="仿宋" w:hAnsi="仿宋" w:cs="仿宋"/>
        </w:rPr>
        <w:t>0.2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，决算数与预算数的差异原因：会议费无支出。</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（四）财政拨款培训费支出决算情况说明。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0.3</w:t>
      </w:r>
      <w:r>
        <w:rPr>
          <w:rFonts w:ascii="仿宋" w:eastAsia="仿宋" w:hAnsi="仿宋" w:cs="仿宋"/>
        </w:rPr>
        <w:t>万元（其中：一般公共预算支出</w:t>
      </w:r>
      <w:r>
        <w:rPr>
          <w:rFonts w:ascii="仿宋" w:eastAsia="仿宋" w:hAnsi="仿宋" w:cs="仿宋"/>
        </w:rPr>
        <w:t>0.3</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w:t>
      </w:r>
      <w:r>
        <w:rPr>
          <w:rFonts w:ascii="仿宋" w:eastAsia="仿宋" w:hAnsi="仿宋" w:cs="仿宋"/>
        </w:rPr>
        <w:lastRenderedPageBreak/>
        <w:t>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，决算数与预算数的差异原因：培训费无支出。</w:t>
      </w:r>
      <w:r>
        <w:rPr>
          <w:rFonts w:ascii="仿宋" w:eastAsia="仿宋" w:hAnsi="仿宋" w:cs="仿宋"/>
        </w:rPr>
        <w:t>2023</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29.78</w:t>
      </w:r>
      <w:r>
        <w:rPr>
          <w:rFonts w:ascii="仿宋" w:eastAsia="仿宋" w:hAnsi="仿宋" w:cs="仿宋"/>
        </w:rPr>
        <w:t>万元（其中：一般公共预算支出</w:t>
      </w:r>
      <w:r>
        <w:rPr>
          <w:rFonts w:ascii="仿宋" w:eastAsia="仿宋" w:hAnsi="仿宋" w:cs="仿宋"/>
        </w:rPr>
        <w:t>29.78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3.15</w:t>
      </w:r>
      <w:r>
        <w:rPr>
          <w:rFonts w:ascii="仿宋" w:eastAsia="仿宋" w:hAnsi="仿宋" w:cs="仿宋"/>
        </w:rPr>
        <w:t>万元，减少</w:t>
      </w:r>
      <w:r>
        <w:rPr>
          <w:rFonts w:ascii="仿宋" w:eastAsia="仿宋" w:hAnsi="仿宋" w:cs="仿宋"/>
        </w:rPr>
        <w:t>9.57%</w:t>
      </w:r>
      <w:r>
        <w:rPr>
          <w:rFonts w:ascii="仿宋" w:eastAsia="仿宋" w:hAnsi="仿宋" w:cs="仿宋"/>
        </w:rPr>
        <w:t>，变动原因：压减经费支出。</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十三、政府采购支出决算情况说明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年度政府采购支出总额</w:t>
      </w:r>
      <w:r>
        <w:rPr>
          <w:rFonts w:ascii="仿宋" w:eastAsia="仿宋" w:hAnsi="仿宋" w:cs="仿宋"/>
        </w:rPr>
        <w:t>0</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万元，其中：授予小微企业合同金额</w:t>
      </w:r>
      <w:r>
        <w:rPr>
          <w:rFonts w:ascii="仿宋" w:eastAsia="仿宋" w:hAnsi="仿宋" w:cs="仿宋"/>
        </w:rPr>
        <w:t>0</w:t>
      </w:r>
      <w:r>
        <w:rPr>
          <w:rFonts w:ascii="仿宋" w:eastAsia="仿宋" w:hAnsi="仿宋" w:cs="仿宋"/>
        </w:rPr>
        <w:t>万元。</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0</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十五、预算绩效评价工作开展情况</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E60E56" w:rsidP="00F7268F">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w:t>
      </w:r>
      <w:r>
        <w:rPr>
          <w:rFonts w:ascii="仿宋" w:eastAsia="仿宋" w:hAnsi="仿宋" w:cs="仿宋"/>
        </w:rPr>
        <w:t>实施完成的</w:t>
      </w:r>
      <w:r>
        <w:rPr>
          <w:rFonts w:ascii="仿宋" w:eastAsia="仿宋" w:hAnsi="仿宋" w:cs="仿宋"/>
        </w:rPr>
        <w:t>0</w:t>
      </w:r>
      <w:r>
        <w:rPr>
          <w:rFonts w:ascii="仿宋" w:eastAsia="仿宋" w:hAnsi="仿宋" w:cs="仿宋"/>
        </w:rPr>
        <w:t>个项目开展了绩效自评价，涉及财政性资金合计</w:t>
      </w:r>
      <w:r>
        <w:rPr>
          <w:rFonts w:ascii="仿宋" w:eastAsia="仿宋" w:hAnsi="仿宋" w:cs="仿宋"/>
        </w:rPr>
        <w:t>0</w:t>
      </w:r>
      <w:r>
        <w:rPr>
          <w:rFonts w:ascii="仿宋" w:eastAsia="仿宋" w:hAnsi="仿宋" w:cs="仿宋"/>
        </w:rPr>
        <w:t>万元；本单位共开展</w:t>
      </w:r>
      <w:r>
        <w:rPr>
          <w:rFonts w:ascii="仿宋" w:eastAsia="仿宋" w:hAnsi="仿宋" w:cs="仿宋"/>
        </w:rPr>
        <w:t>1</w:t>
      </w:r>
      <w:r>
        <w:rPr>
          <w:rFonts w:ascii="仿宋" w:eastAsia="仿宋" w:hAnsi="仿宋" w:cs="仿宋"/>
        </w:rPr>
        <w:t>项</w:t>
      </w:r>
      <w:r>
        <w:rPr>
          <w:rFonts w:ascii="仿宋" w:eastAsia="仿宋" w:hAnsi="仿宋" w:cs="仿宋"/>
        </w:rPr>
        <w:lastRenderedPageBreak/>
        <w:t>单位整体支出绩效自评价，涉及财政性资金合计</w:t>
      </w:r>
      <w:r>
        <w:rPr>
          <w:rFonts w:ascii="仿宋" w:eastAsia="仿宋" w:hAnsi="仿宋" w:cs="仿宋"/>
        </w:rPr>
        <w:t>363.76</w:t>
      </w:r>
      <w:r>
        <w:rPr>
          <w:rFonts w:ascii="仿宋" w:eastAsia="仿宋" w:hAnsi="仿宋" w:cs="仿宋"/>
        </w:rPr>
        <w:t>万元。</w:t>
      </w:r>
    </w:p>
    <w:p w:rsidR="006E012F" w:rsidRDefault="00E60E5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rsidP="00F7268F">
      <w:pPr>
        <w:pStyle w:val="a4"/>
        <w:tabs>
          <w:tab w:val="left" w:pos="3864"/>
          <w:tab w:val="left" w:pos="6248"/>
          <w:tab w:val="left" w:pos="7386"/>
        </w:tabs>
        <w:ind w:leftChars="200" w:left="440" w:firstLineChars="206" w:firstLine="692"/>
        <w:jc w:val="both"/>
        <w:rPr>
          <w:rFonts w:ascii="仿宋" w:eastAsia="仿宋" w:hAnsi="仿宋" w:cs="仿宋"/>
        </w:rPr>
      </w:pP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w:t>
      </w:r>
      <w:r>
        <w:rPr>
          <w:rFonts w:ascii="仿宋" w:eastAsia="仿宋" w:hAnsi="仿宋" w:cs="仿宋" w:hint="eastAsia"/>
          <w:b/>
          <w:bCs/>
        </w:rPr>
        <w:t>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w:t>
      </w:r>
      <w:r>
        <w:rPr>
          <w:rFonts w:ascii="仿宋" w:eastAsia="仿宋" w:hAnsi="仿宋" w:cs="仿宋" w:hint="eastAsia"/>
        </w:rPr>
        <w:lastRenderedPageBreak/>
        <w:t>按照有关规定上缴的收入。</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w:t>
      </w:r>
      <w:r>
        <w:rPr>
          <w:rFonts w:ascii="仿宋" w:eastAsia="仿宋" w:hAnsi="仿宋" w:cs="仿宋" w:hint="eastAsia"/>
        </w:rPr>
        <w:t>位在专业业务活动及其辅助活动之外开展非独立核算经营活动发生的支出。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w:t>
      </w:r>
      <w:r>
        <w:rPr>
          <w:rFonts w:ascii="仿宋" w:eastAsia="仿宋" w:hAnsi="仿宋" w:cs="仿宋" w:hint="eastAsia"/>
        </w:rPr>
        <w:t>支出；公务接待费反映单位按规定开支的各类公务接待（含外宾接待）费用。</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w:t>
      </w:r>
      <w:r>
        <w:rPr>
          <w:rFonts w:ascii="仿宋" w:eastAsia="仿宋" w:hAnsi="仿宋" w:cs="仿宋" w:hint="eastAsia"/>
        </w:rPr>
        <w:lastRenderedPageBreak/>
        <w:t>支出，包括办公及印刷费、邮电费、差旅费、会议费、福利费、日常维修费、专用材料及一般设备购置费、办公用房水电费、办公用房取暖费、办公用房物业管理费、公务用车运行维护费及其他费用。</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w:t>
      </w:r>
      <w:r>
        <w:rPr>
          <w:rFonts w:ascii="仿宋" w:eastAsia="仿宋" w:hAnsi="仿宋" w:cs="仿宋" w:hint="eastAsia"/>
          <w:b/>
          <w:bCs/>
        </w:rPr>
        <w:t>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w:t>
      </w:r>
      <w:r>
        <w:rPr>
          <w:rFonts w:ascii="仿宋" w:eastAsia="仿宋" w:hAnsi="仿宋" w:cs="仿宋" w:hint="eastAsia"/>
          <w:b/>
          <w:bCs/>
        </w:rPr>
        <w:lastRenderedPageBreak/>
        <w:t>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E60E56" w:rsidP="00F7268F">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w:t>
      </w: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E60E56" w:rsidP="000C4375">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rsidSect="000C4375">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E56" w:rsidRDefault="00E60E56">
      <w:r>
        <w:separator/>
      </w:r>
    </w:p>
  </w:endnote>
  <w:endnote w:type="continuationSeparator" w:id="0">
    <w:p w:rsidR="00E60E56" w:rsidRDefault="00E60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modern"/>
    <w:pitch w:val="fixed"/>
    <w:sig w:usb0="00000000" w:usb1="38CF7CFA" w:usb2="00000016" w:usb3="00000000" w:csb0="00040001" w:csb1="00000000"/>
  </w:font>
  <w:font w:name="华文仿宋">
    <w:altName w:val="Malgun Gothic Semilight"/>
    <w:charset w:val="86"/>
    <w:family w:val="auto"/>
    <w:pitch w:val="variable"/>
    <w:sig w:usb0="00000000" w:usb1="080F0000" w:usb2="00000010" w:usb3="00000000" w:csb0="0004009F"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楷体">
    <w:altName w:val="Malgun Gothic Semilight"/>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rPr>
        <w:rFonts w:ascii="黑体" w:eastAsia="黑体" w:hAnsi="黑体" w:cs="黑体"/>
      </w:rPr>
    </w:pPr>
    <w:r w:rsidRPr="000C4375">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 filled="f" stroked="f">
          <v:textbox style="mso-fit-shape-to-text:t" inset="0,0,0,0">
            <w:txbxContent>
              <w:p w:rsidR="006E012F" w:rsidRDefault="000C4375">
                <w:pPr>
                  <w:pStyle w:val="a5"/>
                  <w:rPr>
                    <w:rFonts w:ascii="黑体" w:eastAsia="黑体" w:hAnsi="黑体" w:cs="黑体"/>
                  </w:rPr>
                </w:pPr>
                <w:r>
                  <w:rPr>
                    <w:rFonts w:ascii="黑体" w:eastAsia="黑体" w:hAnsi="黑体" w:cs="黑体" w:hint="eastAsia"/>
                  </w:rPr>
                  <w:fldChar w:fldCharType="begin"/>
                </w:r>
                <w:r w:rsidR="00E60E56">
                  <w:rPr>
                    <w:rFonts w:ascii="黑体" w:eastAsia="黑体" w:hAnsi="黑体" w:cs="黑体" w:hint="eastAsia"/>
                  </w:rPr>
                  <w:instrText xml:space="preserve"> PAGE  \* MERGEFORMAT </w:instrText>
                </w:r>
                <w:r>
                  <w:rPr>
                    <w:rFonts w:ascii="黑体" w:eastAsia="黑体" w:hAnsi="黑体" w:cs="黑体" w:hint="eastAsia"/>
                  </w:rPr>
                  <w:fldChar w:fldCharType="separate"/>
                </w:r>
                <w:r w:rsidR="00F7268F">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- 22 -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- 23 -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- 25 -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- 44 -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rPr>
        <w:rFonts w:ascii="黑体" w:eastAsia="黑体" w:hAnsi="黑体" w:cs="黑体"/>
      </w:rPr>
    </w:pPr>
    <w:r w:rsidRPr="000C4375">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 filled="f" stroked="f">
          <v:textbox style="mso-fit-shape-to-text:t" inset="0,0,0,0">
            <w:txbxContent>
              <w:p w:rsidR="006E012F" w:rsidRDefault="000C4375">
                <w:pPr>
                  <w:pStyle w:val="a5"/>
                  <w:rPr>
                    <w:rFonts w:ascii="黑体" w:eastAsia="黑体" w:hAnsi="黑体" w:cs="黑体"/>
                  </w:rPr>
                </w:pPr>
                <w:r>
                  <w:rPr>
                    <w:rFonts w:ascii="黑体" w:eastAsia="黑体" w:hAnsi="黑体" w:cs="黑体" w:hint="eastAsia"/>
                  </w:rPr>
                  <w:fldChar w:fldCharType="begin"/>
                </w:r>
                <w:r w:rsidR="00E60E56">
                  <w:rPr>
                    <w:rFonts w:ascii="黑体" w:eastAsia="黑体" w:hAnsi="黑体" w:cs="黑体" w:hint="eastAsia"/>
                  </w:rPr>
                  <w:instrText xml:space="preserve"> PAGE  \* MERGEFORMAT </w:instrText>
                </w:r>
                <w:r>
                  <w:rPr>
                    <w:rFonts w:ascii="黑体" w:eastAsia="黑体" w:hAnsi="黑体" w:cs="黑体" w:hint="eastAsia"/>
                  </w:rPr>
                  <w:fldChar w:fldCharType="separate"/>
                </w:r>
                <w:r w:rsidR="00F7268F">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- 6 -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- 7 -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- 13 -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- 17 -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0C4375">
    <w:pPr>
      <w:pStyle w:val="a5"/>
      <w:jc w:val="center"/>
    </w:pPr>
    <w:r w:rsidRPr="000C4375">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 filled="f" stroked="f">
          <v:textbox style="mso-fit-shape-to-text:t" inset="0,0,0,0">
            <w:txbxContent>
              <w:p w:rsidR="006E012F" w:rsidRDefault="000C4375">
                <w:pPr>
                  <w:pStyle w:val="a5"/>
                </w:pPr>
                <w:r>
                  <w:rPr>
                    <w:rFonts w:hint="eastAsia"/>
                  </w:rPr>
                  <w:fldChar w:fldCharType="begin"/>
                </w:r>
                <w:r w:rsidR="00E60E56">
                  <w:rPr>
                    <w:rFonts w:hint="eastAsia"/>
                  </w:rPr>
                  <w:instrText xml:space="preserve"> PAGE  \* MERGEFORMAT </w:instrText>
                </w:r>
                <w:r>
                  <w:rPr>
                    <w:rFonts w:hint="eastAsia"/>
                  </w:rPr>
                  <w:fldChar w:fldCharType="separate"/>
                </w:r>
                <w:r w:rsidR="00F7268F">
                  <w:rPr>
                    <w:noProof/>
                  </w:rPr>
                  <w:t>- 18 -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E56" w:rsidRDefault="00E60E56">
      <w:r>
        <w:separator/>
      </w:r>
    </w:p>
  </w:footnote>
  <w:footnote w:type="continuationSeparator" w:id="0">
    <w:p w:rsidR="00E60E56" w:rsidRDefault="00E60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E60E56">
    <w:pPr>
      <w:pStyle w:val="a6"/>
      <w:pBdr>
        <w:bottom w:val="single" w:sz="4" w:space="1" w:color="000000"/>
      </w:pBdr>
      <w:jc w:val="both"/>
      <w:rPr>
        <w:lang w:val="en-US"/>
      </w:rPr>
    </w:pPr>
    <w:r>
      <w:rPr>
        <w:rFonts w:hint="eastAsia"/>
        <w:lang w:val="en-US"/>
      </w:rPr>
      <w:t>南京市台商投资保护和促进服务中心</w:t>
    </w:r>
    <w:r>
      <w:t>2023</w:t>
    </w:r>
    <w:r>
      <w:t>年度单位决算公开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12F" w:rsidRDefault="006E012F">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OTZhZDYyZDRkNjBlM2JhZTAwNWZjYTM1ZGFmNGQwMjEifQ=="/>
  </w:docVars>
  <w:rsids>
    <w:rsidRoot w:val="006E012F"/>
    <w:rsid w:val="DBEED555"/>
    <w:rsid w:val="00042122"/>
    <w:rsid w:val="00064984"/>
    <w:rsid w:val="00071789"/>
    <w:rsid w:val="000C024B"/>
    <w:rsid w:val="000C4375"/>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E60E56"/>
    <w:rsid w:val="00F7268F"/>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C4375"/>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0C4375"/>
    <w:pPr>
      <w:ind w:left="-40"/>
      <w:outlineLvl w:val="0"/>
    </w:pPr>
    <w:rPr>
      <w:sz w:val="52"/>
      <w:szCs w:val="52"/>
    </w:rPr>
  </w:style>
  <w:style w:type="paragraph" w:styleId="2">
    <w:name w:val="heading 2"/>
    <w:basedOn w:val="a"/>
    <w:next w:val="a"/>
    <w:uiPriority w:val="1"/>
    <w:qFormat/>
    <w:rsid w:val="000C4375"/>
    <w:pPr>
      <w:ind w:right="18"/>
      <w:jc w:val="center"/>
      <w:outlineLvl w:val="1"/>
    </w:pPr>
    <w:rPr>
      <w:sz w:val="44"/>
      <w:szCs w:val="44"/>
    </w:rPr>
  </w:style>
  <w:style w:type="paragraph" w:styleId="3">
    <w:name w:val="heading 3"/>
    <w:basedOn w:val="a"/>
    <w:next w:val="a"/>
    <w:uiPriority w:val="1"/>
    <w:qFormat/>
    <w:rsid w:val="000C4375"/>
    <w:pPr>
      <w:ind w:left="1"/>
      <w:jc w:val="center"/>
      <w:outlineLvl w:val="2"/>
    </w:pPr>
    <w:rPr>
      <w:sz w:val="40"/>
      <w:szCs w:val="40"/>
    </w:rPr>
  </w:style>
  <w:style w:type="paragraph" w:styleId="4">
    <w:name w:val="heading 4"/>
    <w:basedOn w:val="a"/>
    <w:next w:val="a"/>
    <w:uiPriority w:val="1"/>
    <w:qFormat/>
    <w:rsid w:val="000C4375"/>
    <w:pPr>
      <w:jc w:val="center"/>
      <w:outlineLvl w:val="3"/>
    </w:pPr>
    <w:rPr>
      <w:sz w:val="36"/>
      <w:szCs w:val="36"/>
    </w:rPr>
  </w:style>
  <w:style w:type="paragraph" w:styleId="5">
    <w:name w:val="heading 5"/>
    <w:basedOn w:val="a"/>
    <w:next w:val="a"/>
    <w:uiPriority w:val="1"/>
    <w:qFormat/>
    <w:rsid w:val="000C4375"/>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C4375"/>
    <w:pPr>
      <w:suppressLineNumbers/>
      <w:spacing w:before="120" w:after="120"/>
    </w:pPr>
    <w:rPr>
      <w:i/>
      <w:iCs/>
      <w:sz w:val="24"/>
      <w:szCs w:val="24"/>
    </w:rPr>
  </w:style>
  <w:style w:type="paragraph" w:styleId="a4">
    <w:name w:val="Body Text"/>
    <w:basedOn w:val="a"/>
    <w:uiPriority w:val="1"/>
    <w:qFormat/>
    <w:rsid w:val="000C4375"/>
    <w:rPr>
      <w:sz w:val="32"/>
      <w:szCs w:val="32"/>
    </w:rPr>
  </w:style>
  <w:style w:type="paragraph" w:styleId="a5">
    <w:name w:val="footer"/>
    <w:basedOn w:val="a"/>
    <w:qFormat/>
    <w:rsid w:val="000C4375"/>
    <w:pPr>
      <w:tabs>
        <w:tab w:val="center" w:pos="4153"/>
        <w:tab w:val="right" w:pos="8306"/>
      </w:tabs>
      <w:snapToGrid w:val="0"/>
    </w:pPr>
    <w:rPr>
      <w:sz w:val="18"/>
      <w:szCs w:val="18"/>
    </w:rPr>
  </w:style>
  <w:style w:type="paragraph" w:styleId="a6">
    <w:name w:val="header"/>
    <w:basedOn w:val="a"/>
    <w:qFormat/>
    <w:rsid w:val="000C4375"/>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0C4375"/>
  </w:style>
  <w:style w:type="table" w:styleId="a8">
    <w:name w:val="Table Grid"/>
    <w:basedOn w:val="a1"/>
    <w:qFormat/>
    <w:rsid w:val="000C437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0C4375"/>
  </w:style>
  <w:style w:type="character" w:customStyle="1" w:styleId="aa">
    <w:name w:val="页眉 字符"/>
    <w:basedOn w:val="a0"/>
    <w:qFormat/>
    <w:rsid w:val="000C4375"/>
    <w:rPr>
      <w:rFonts w:ascii="Arial Unicode MS" w:eastAsia="Arial Unicode MS" w:hAnsi="Arial Unicode MS" w:cs="Arial Unicode MS"/>
      <w:sz w:val="18"/>
      <w:szCs w:val="18"/>
      <w:lang w:val="zh-CN" w:bidi="zh-CN"/>
    </w:rPr>
  </w:style>
  <w:style w:type="character" w:customStyle="1" w:styleId="ab">
    <w:name w:val="页脚 字符"/>
    <w:basedOn w:val="a0"/>
    <w:qFormat/>
    <w:rsid w:val="000C4375"/>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0C4375"/>
    <w:pPr>
      <w:keepNext/>
      <w:spacing w:before="240" w:after="120"/>
    </w:pPr>
    <w:rPr>
      <w:rFonts w:ascii="Liberation Sans" w:hAnsi="Liberation Sans"/>
      <w:sz w:val="28"/>
      <w:szCs w:val="28"/>
    </w:rPr>
  </w:style>
  <w:style w:type="paragraph" w:customStyle="1" w:styleId="ad">
    <w:name w:val="索引"/>
    <w:basedOn w:val="a"/>
    <w:qFormat/>
    <w:rsid w:val="000C4375"/>
    <w:pPr>
      <w:suppressLineNumbers/>
    </w:pPr>
  </w:style>
  <w:style w:type="paragraph" w:customStyle="1" w:styleId="ae">
    <w:name w:val="页眉与页脚"/>
    <w:basedOn w:val="a"/>
    <w:qFormat/>
    <w:rsid w:val="000C4375"/>
  </w:style>
  <w:style w:type="paragraph" w:customStyle="1" w:styleId="10">
    <w:name w:val="列表段落1"/>
    <w:basedOn w:val="a"/>
    <w:uiPriority w:val="1"/>
    <w:qFormat/>
    <w:rsid w:val="000C4375"/>
    <w:pPr>
      <w:ind w:left="2039" w:hanging="782"/>
    </w:pPr>
  </w:style>
  <w:style w:type="paragraph" w:customStyle="1" w:styleId="TableParagraph">
    <w:name w:val="Table Paragraph"/>
    <w:basedOn w:val="a"/>
    <w:uiPriority w:val="1"/>
    <w:qFormat/>
    <w:rsid w:val="000C4375"/>
    <w:rPr>
      <w:rFonts w:ascii="宋体" w:eastAsia="宋体" w:hAnsi="宋体" w:cs="宋体"/>
    </w:rPr>
  </w:style>
  <w:style w:type="paragraph" w:customStyle="1" w:styleId="af">
    <w:name w:val="表格内容"/>
    <w:basedOn w:val="a"/>
    <w:qFormat/>
    <w:rsid w:val="000C4375"/>
    <w:pPr>
      <w:suppressLineNumbers/>
    </w:pPr>
  </w:style>
  <w:style w:type="paragraph" w:customStyle="1" w:styleId="af0">
    <w:name w:val="表格标题"/>
    <w:basedOn w:val="af"/>
    <w:qFormat/>
    <w:rsid w:val="000C4375"/>
    <w:pPr>
      <w:jc w:val="center"/>
    </w:pPr>
    <w:rPr>
      <w:b/>
      <w:bCs/>
    </w:rPr>
  </w:style>
  <w:style w:type="paragraph" w:customStyle="1" w:styleId="af1">
    <w:name w:val="预格式化的文本"/>
    <w:basedOn w:val="a"/>
    <w:qFormat/>
    <w:rsid w:val="000C4375"/>
    <w:rPr>
      <w:rFonts w:ascii="Liberation Mono" w:eastAsia="新宋体" w:hAnsi="Liberation Mono" w:cs="Liberation Mono"/>
      <w:sz w:val="20"/>
      <w:szCs w:val="20"/>
    </w:rPr>
  </w:style>
  <w:style w:type="table" w:customStyle="1" w:styleId="TableNormal">
    <w:name w:val="Table Normal"/>
    <w:uiPriority w:val="2"/>
    <w:unhideWhenUsed/>
    <w:qFormat/>
    <w:rsid w:val="000C4375"/>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2467</Words>
  <Characters>14067</Characters>
  <Application>Microsoft Office Word</Application>
  <DocSecurity>0</DocSecurity>
  <Lines>117</Lines>
  <Paragraphs>33</Paragraphs>
  <ScaleCrop>false</ScaleCrop>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xbany</cp:lastModifiedBy>
  <cp:revision>2</cp:revision>
  <dcterms:created xsi:type="dcterms:W3CDTF">2024-09-12T09:38:00Z</dcterms:created>
  <dcterms:modified xsi:type="dcterms:W3CDTF">2024-09-12T09:38:00Z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