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DA5D7A">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DA5D7A">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DA5D7A">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DA5D7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DA5D7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DA5D7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DA5D7A">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DA5D7A">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DA5D7A">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DA5D7A">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DA5D7A">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DA5D7A">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DA5D7A">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DA5D7A">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DA5D7A">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DA5D7A">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DA5D7A">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DA5D7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lastRenderedPageBreak/>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DA5D7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DA5D7A">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DA5D7A">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9"/>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DA5D7A">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DA5D7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贯彻执行党中央、国务院确定的对台工作方针、政策和市委、市政府的对台工作部署；制定并组织实施全市对台工作计划、规划。</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组织、指导、管理、协调市委、市政府各部门和各区的对台工作；检查了解各区、各部门贯彻执行党中央、国务院对台工作方针情况。</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研究两岸关系发展和台湾岛内关系的变化；协调有关部门研究、草拟我市有关涉台政策、法规，统筹协调我市涉台法律事务。</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会同有关部门统筹协调和指导对台经贸工作和我市与台湾的金融、文化、教育、科技、卫生、体育等各个领域的交流和合作，以及两岸人员往来、考察、研讨等工作。</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负责我市对台宣传、涉台教育和有关重大涉台事件的新闻发布；受理台商和台资企业的投诉。</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指导市各民主党派、工商联和群众团体开展涉台工作；</w:t>
      </w:r>
      <w:r>
        <w:rPr>
          <w:rFonts w:ascii="仿宋" w:eastAsia="仿宋" w:hAnsi="仿宋" w:cs="仿宋"/>
        </w:rPr>
        <w:lastRenderedPageBreak/>
        <w:t>管理、指导市台资企业协会、台属联谊会等有关涉台社团的工作。</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完成上级台办交办的涉台事务；完成市委、市政府及有关部门交办的其他任务。</w:t>
      </w:r>
    </w:p>
    <w:p w:rsidR="006E012F" w:rsidRPr="00CF349C" w:rsidRDefault="00DA5D7A">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本单位内设机构包括秘书处、联络</w:t>
      </w:r>
      <w:r>
        <w:rPr>
          <w:rFonts w:ascii="仿宋" w:eastAsia="仿宋" w:hAnsi="仿宋" w:cs="仿宋"/>
        </w:rPr>
        <w:t>处、交流处、经济工作处、宣传调研处。本单位无下属单位。</w:t>
      </w:r>
    </w:p>
    <w:p w:rsidR="006E012F" w:rsidRDefault="00DA5D7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DA5D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市委台办</w:t>
      </w:r>
      <w:r>
        <w:rPr>
          <w:rFonts w:ascii="仿宋" w:eastAsia="仿宋" w:hAnsi="仿宋" w:cs="仿宋"/>
        </w:rPr>
        <w:t>2023</w:t>
      </w:r>
      <w:r>
        <w:rPr>
          <w:rFonts w:ascii="仿宋" w:eastAsia="仿宋" w:hAnsi="仿宋" w:cs="仿宋"/>
        </w:rPr>
        <w:t>年度主要工作完成情况为涉密内容。</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DA5D7A">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DA5D7A">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中国共产党南京市委员会台湾工作办公室</w:t>
      </w:r>
    </w:p>
    <w:p w:rsidR="006E012F" w:rsidRDefault="00DA5D7A">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6E012F">
        <w:trPr>
          <w:trHeight w:val="544"/>
          <w:jc w:val="center"/>
        </w:trPr>
        <w:tc>
          <w:tcPr>
            <w:tcW w:w="10447" w:type="dxa"/>
            <w:gridSpan w:val="5"/>
          </w:tcPr>
          <w:p w:rsidR="006E012F" w:rsidRDefault="00DA5D7A">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DA5D7A">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DA5D7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中国共产党南京市委员会台湾工作办公室</w:t>
            </w:r>
          </w:p>
        </w:tc>
        <w:tc>
          <w:tcPr>
            <w:tcW w:w="3167" w:type="dxa"/>
            <w:gridSpan w:val="2"/>
            <w:tcBorders>
              <w:bottom w:val="single" w:sz="4" w:space="0" w:color="000000"/>
            </w:tcBorders>
            <w:vAlign w:val="center"/>
          </w:tcPr>
          <w:p w:rsidR="006E012F" w:rsidRDefault="00DA5D7A">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2,161.47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1,149.93</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375.48</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633.13</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color w:val="000000"/>
              </w:rPr>
            </w:pPr>
            <w:r>
              <w:rPr>
                <w:rFonts w:ascii="仿宋" w:eastAsia="仿宋" w:hAnsi="仿宋" w:cs="仿宋" w:hint="eastAsia"/>
                <w:color w:val="000000"/>
                <w:lang w:eastAsia="ar-SA"/>
              </w:rPr>
              <w:t>2,162.92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color w:val="000000"/>
              </w:rPr>
            </w:pPr>
            <w:r>
              <w:rPr>
                <w:rFonts w:ascii="仿宋" w:eastAsia="仿宋" w:hAnsi="仿宋" w:cs="仿宋" w:hint="eastAsia"/>
                <w:color w:val="000000"/>
                <w:lang w:eastAsia="ar-SA"/>
              </w:rPr>
              <w:t>2,158.54</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rsidP="00407404">
            <w:pPr>
              <w:ind w:firstLineChars="100" w:firstLine="231"/>
              <w:rPr>
                <w:rFonts w:ascii="仿宋" w:eastAsia="仿宋" w:hAnsi="仿宋" w:cs="仿宋"/>
                <w:color w:val="000000"/>
              </w:rPr>
            </w:pPr>
            <w:r>
              <w:rPr>
                <w:rFonts w:ascii="仿宋" w:eastAsia="仿宋" w:hAnsi="仿宋" w:cs="仿宋" w:hint="eastAsia"/>
                <w:color w:val="000000"/>
                <w:lang w:eastAsia="ar-SA"/>
              </w:rPr>
              <w:lastRenderedPageBreak/>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rsidP="00407404">
            <w:pPr>
              <w:ind w:firstLineChars="100" w:firstLine="231"/>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rsidP="00407404">
            <w:pPr>
              <w:ind w:firstLineChars="100" w:firstLine="231"/>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color w:val="000000"/>
                <w:lang w:eastAsia="ar-SA"/>
              </w:rPr>
            </w:pPr>
            <w:r>
              <w:rPr>
                <w:rFonts w:ascii="仿宋" w:eastAsia="仿宋" w:hAnsi="仿宋" w:cs="仿宋" w:hint="eastAsia"/>
                <w:color w:val="000000"/>
                <w:lang w:eastAsia="ar-SA"/>
              </w:rPr>
              <w:t>390.30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rsidP="00407404">
            <w:pPr>
              <w:ind w:firstLineChars="100" w:firstLine="231"/>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color w:val="000000"/>
              </w:rPr>
            </w:pPr>
            <w:r>
              <w:rPr>
                <w:rFonts w:ascii="仿宋" w:eastAsia="仿宋" w:hAnsi="仿宋" w:cs="仿宋" w:hint="eastAsia"/>
                <w:color w:val="000000"/>
                <w:lang w:eastAsia="ar-SA"/>
              </w:rPr>
              <w:t>394.68</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color w:val="000000"/>
              </w:rPr>
            </w:pPr>
            <w:r>
              <w:rPr>
                <w:rFonts w:ascii="仿宋" w:eastAsia="仿宋" w:hAnsi="仿宋" w:cs="仿宋" w:hint="eastAsia"/>
                <w:color w:val="000000"/>
                <w:lang w:eastAsia="ar-SA"/>
              </w:rPr>
              <w:t>2,553.22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color w:val="000000"/>
              </w:rPr>
            </w:pPr>
            <w:r>
              <w:rPr>
                <w:rFonts w:ascii="仿宋" w:eastAsia="仿宋" w:hAnsi="仿宋" w:cs="仿宋" w:hint="eastAsia"/>
                <w:color w:val="000000"/>
                <w:lang w:eastAsia="ar-SA"/>
              </w:rPr>
              <w:t>2,553.22</w:t>
            </w:r>
          </w:p>
        </w:tc>
      </w:tr>
    </w:tbl>
    <w:p w:rsidR="006E012F" w:rsidRDefault="00DA5D7A">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DA5D7A">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DA5D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DA5D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703" w:type="dxa"/>
            <w:gridSpan w:val="2"/>
            <w:vAlign w:val="center"/>
          </w:tcPr>
          <w:p w:rsidR="006E012F" w:rsidRDefault="00DA5D7A">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功能分类</w:t>
            </w:r>
          </w:p>
          <w:p w:rsidR="006E012F" w:rsidRDefault="00DA5D7A">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DA5D7A">
            <w:pPr>
              <w:jc w:val="right"/>
              <w:rPr>
                <w:rFonts w:ascii="仿宋" w:eastAsia="仿宋" w:hAnsi="仿宋" w:cs="仿宋"/>
                <w:sz w:val="20"/>
                <w:szCs w:val="20"/>
              </w:rPr>
            </w:pPr>
            <w:r>
              <w:rPr>
                <w:rFonts w:ascii="仿宋" w:eastAsia="仿宋" w:hAnsi="仿宋" w:cs="仿宋" w:hint="eastAsia"/>
                <w:sz w:val="20"/>
                <w:szCs w:val="20"/>
              </w:rPr>
              <w:t>2,162.92</w:t>
            </w:r>
          </w:p>
        </w:tc>
        <w:tc>
          <w:tcPr>
            <w:tcW w:w="1728" w:type="dxa"/>
            <w:tcBorders>
              <w:left w:val="single" w:sz="4" w:space="0" w:color="000000"/>
              <w:bottom w:val="single" w:sz="4" w:space="0" w:color="000000"/>
            </w:tcBorders>
            <w:vAlign w:val="center"/>
          </w:tcPr>
          <w:p w:rsidR="006E012F" w:rsidRDefault="00DA5D7A">
            <w:pPr>
              <w:jc w:val="right"/>
              <w:rPr>
                <w:rFonts w:ascii="仿宋" w:eastAsia="仿宋" w:hAnsi="仿宋" w:cs="仿宋"/>
                <w:sz w:val="20"/>
                <w:szCs w:val="20"/>
              </w:rPr>
            </w:pPr>
            <w:r>
              <w:rPr>
                <w:rFonts w:ascii="仿宋" w:eastAsia="仿宋" w:hAnsi="仿宋" w:cs="仿宋" w:hint="eastAsia"/>
                <w:sz w:val="20"/>
                <w:szCs w:val="20"/>
              </w:rPr>
              <w:t>2,161.47</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sz w:val="20"/>
                <w:szCs w:val="20"/>
              </w:rPr>
            </w:pPr>
            <w:r>
              <w:rPr>
                <w:rFonts w:ascii="仿宋" w:eastAsia="仿宋" w:hAnsi="仿宋" w:cs="仿宋" w:hint="eastAsia"/>
                <w:sz w:val="20"/>
                <w:szCs w:val="20"/>
              </w:rPr>
              <w:t>1.45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1,154.31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1,152.86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1.45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1,154.31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1,152.86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1.45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1,152.55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1,151.10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1.45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1.76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1.76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375.48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375.48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375.48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375.48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116.82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116.82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172.44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172.44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86.22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86.22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633.13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633.13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633.13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633.13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163.33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163.33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469.80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20"/>
                <w:szCs w:val="20"/>
              </w:rPr>
            </w:pPr>
            <w:r>
              <w:rPr>
                <w:rFonts w:ascii="仿宋" w:eastAsia="仿宋" w:hAnsi="仿宋" w:cs="仿宋" w:hint="eastAsia"/>
                <w:sz w:val="20"/>
                <w:szCs w:val="20"/>
              </w:rPr>
              <w:t>469.80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DA5D7A">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rsidP="00407404">
      <w:pPr>
        <w:spacing w:before="66"/>
        <w:ind w:left="57" w:firstLineChars="100" w:firstLine="231"/>
        <w:jc w:val="both"/>
        <w:rPr>
          <w:rFonts w:ascii="仿宋" w:eastAsia="仿宋" w:hAnsi="仿宋" w:cs="仿宋"/>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DA5D7A">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DA5D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DA5D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59" w:type="dxa"/>
            <w:gridSpan w:val="2"/>
            <w:vAlign w:val="center"/>
          </w:tcPr>
          <w:p w:rsidR="006E012F" w:rsidRDefault="00DA5D7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功能分类</w:t>
            </w:r>
          </w:p>
          <w:p w:rsidR="006E012F" w:rsidRDefault="00DA5D7A">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2,158.54</w:t>
            </w:r>
          </w:p>
        </w:tc>
        <w:tc>
          <w:tcPr>
            <w:tcW w:w="1897" w:type="dxa"/>
            <w:tcBorders>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2,156.78</w:t>
            </w:r>
          </w:p>
        </w:tc>
        <w:tc>
          <w:tcPr>
            <w:tcW w:w="1739" w:type="dxa"/>
            <w:tcBorders>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1.76</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1,149.93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1,148.17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1.76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20125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1,149.93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1,148.17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1.76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2012501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1,148.17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1,148.17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2012505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1.76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1.76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375.48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375.48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375.48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375.48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116.82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116.82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172.44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172.44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86.22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86.22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633.13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633.13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633.13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633.13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163.33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163.33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lastRenderedPageBreak/>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469.80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A5D7A">
            <w:pPr>
              <w:pStyle w:val="TableParagraph"/>
              <w:spacing w:before="30"/>
              <w:ind w:left="107"/>
              <w:jc w:val="right"/>
              <w:rPr>
                <w:rFonts w:ascii="仿宋" w:eastAsia="仿宋" w:hAnsi="仿宋" w:cs="仿宋"/>
              </w:rPr>
            </w:pPr>
            <w:r>
              <w:rPr>
                <w:rFonts w:ascii="仿宋" w:eastAsia="仿宋" w:hAnsi="仿宋" w:cs="仿宋" w:hint="eastAsia"/>
              </w:rPr>
              <w:t>469.80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DA5D7A">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DA5D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DA5D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21" w:type="dxa"/>
            <w:gridSpan w:val="3"/>
            <w:vAlign w:val="center"/>
          </w:tcPr>
          <w:p w:rsidR="006E012F" w:rsidRDefault="00DA5D7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DA5D7A">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DA5D7A">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DA5D7A">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DA5D7A">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2,161.47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1,148.48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1,148.48</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2,161.47</w:t>
            </w:r>
          </w:p>
        </w:tc>
        <w:tc>
          <w:tcPr>
            <w:tcW w:w="3667" w:type="dxa"/>
            <w:gridSpan w:val="3"/>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2,157.09</w:t>
            </w:r>
          </w:p>
        </w:tc>
        <w:tc>
          <w:tcPr>
            <w:tcW w:w="1415" w:type="dxa"/>
            <w:gridSpan w:val="2"/>
            <w:tcBorders>
              <w:top w:val="single" w:sz="4" w:space="0" w:color="000000"/>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2,157.09</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390.30</w:t>
            </w:r>
          </w:p>
        </w:tc>
        <w:tc>
          <w:tcPr>
            <w:tcW w:w="3667" w:type="dxa"/>
            <w:gridSpan w:val="3"/>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394.68</w:t>
            </w:r>
          </w:p>
        </w:tc>
        <w:tc>
          <w:tcPr>
            <w:tcW w:w="1415" w:type="dxa"/>
            <w:gridSpan w:val="2"/>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394.68</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390.30</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2,551.77</w:t>
            </w:r>
          </w:p>
        </w:tc>
        <w:tc>
          <w:tcPr>
            <w:tcW w:w="3667" w:type="dxa"/>
            <w:gridSpan w:val="3"/>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2,551.77</w:t>
            </w:r>
          </w:p>
        </w:tc>
        <w:tc>
          <w:tcPr>
            <w:tcW w:w="1415" w:type="dxa"/>
            <w:gridSpan w:val="2"/>
            <w:tcBorders>
              <w:left w:val="single" w:sz="4" w:space="0" w:color="000000"/>
              <w:bottom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2,551.77</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A5D7A">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6E012F">
        <w:trPr>
          <w:trHeight w:val="321"/>
        </w:trPr>
        <w:tc>
          <w:tcPr>
            <w:tcW w:w="15417" w:type="dxa"/>
            <w:gridSpan w:val="5"/>
            <w:vAlign w:val="center"/>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DA5D7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DA5D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DA5D7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功能分类</w:t>
            </w:r>
          </w:p>
          <w:p w:rsidR="006E012F" w:rsidRDefault="00DA5D7A">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DA5D7A">
            <w:pPr>
              <w:pStyle w:val="TableParagraph"/>
              <w:jc w:val="right"/>
              <w:rPr>
                <w:rFonts w:ascii="仿宋" w:eastAsia="仿宋" w:hAnsi="仿宋" w:cs="仿宋"/>
              </w:rPr>
            </w:pPr>
            <w:r>
              <w:rPr>
                <w:rFonts w:ascii="仿宋" w:eastAsia="仿宋" w:hAnsi="仿宋" w:cs="仿宋" w:hint="eastAsia"/>
              </w:rPr>
              <w:t>2,157.09</w:t>
            </w:r>
          </w:p>
        </w:tc>
        <w:tc>
          <w:tcPr>
            <w:tcW w:w="2778" w:type="dxa"/>
            <w:tcBorders>
              <w:left w:val="single" w:sz="6" w:space="0" w:color="000000"/>
              <w:bottom w:val="single" w:sz="6" w:space="0" w:color="000000"/>
            </w:tcBorders>
          </w:tcPr>
          <w:p w:rsidR="006E012F" w:rsidRDefault="00DA5D7A">
            <w:pPr>
              <w:pStyle w:val="TableParagraph"/>
              <w:jc w:val="right"/>
              <w:rPr>
                <w:rFonts w:ascii="仿宋" w:eastAsia="仿宋" w:hAnsi="仿宋" w:cs="仿宋"/>
              </w:rPr>
            </w:pPr>
            <w:r>
              <w:rPr>
                <w:rFonts w:ascii="仿宋" w:eastAsia="仿宋" w:hAnsi="仿宋" w:cs="仿宋" w:hint="eastAsia"/>
              </w:rPr>
              <w:t>2,155.33</w:t>
            </w:r>
          </w:p>
        </w:tc>
        <w:tc>
          <w:tcPr>
            <w:tcW w:w="3155" w:type="dxa"/>
            <w:tcBorders>
              <w:left w:val="single" w:sz="6" w:space="0" w:color="000000"/>
              <w:bottom w:val="single" w:sz="6" w:space="0" w:color="000000"/>
              <w:right w:val="single" w:sz="6" w:space="0" w:color="000000"/>
            </w:tcBorders>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1,148.48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1,148.48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116.82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116.82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469.80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469.80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DA5D7A">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6E012F">
        <w:trPr>
          <w:trHeight w:val="319"/>
        </w:trPr>
        <w:tc>
          <w:tcPr>
            <w:tcW w:w="10515" w:type="dxa"/>
            <w:gridSpan w:val="5"/>
            <w:vAlign w:val="center"/>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DA5D7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DA5D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96" w:type="dxa"/>
            <w:vAlign w:val="center"/>
          </w:tcPr>
          <w:p w:rsidR="006E012F" w:rsidRDefault="00DA5D7A">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2,155.33</w:t>
            </w:r>
          </w:p>
        </w:tc>
        <w:tc>
          <w:tcPr>
            <w:tcW w:w="2040"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2,032.68</w:t>
            </w:r>
          </w:p>
        </w:tc>
        <w:tc>
          <w:tcPr>
            <w:tcW w:w="1896"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122.65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1,797.27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1,797.27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249.87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249.87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683.07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683.07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358.39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358.39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35.75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35.75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8.21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8.21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122.65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122.65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0.05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19.56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19.56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lastRenderedPageBreak/>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0.97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0.97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2.02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16.80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48.03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48.03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12.73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12.73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235.41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235.41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77.02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77.02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156.85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156.85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lastRenderedPageBreak/>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lastRenderedPageBreak/>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DA5D7A">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6E012F">
        <w:trPr>
          <w:trHeight w:val="560"/>
        </w:trPr>
        <w:tc>
          <w:tcPr>
            <w:tcW w:w="10446" w:type="dxa"/>
            <w:gridSpan w:val="5"/>
            <w:vAlign w:val="center"/>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DA5D7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DA5D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11" w:type="dxa"/>
            <w:gridSpan w:val="2"/>
          </w:tcPr>
          <w:p w:rsidR="006E012F" w:rsidRDefault="00DA5D7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DA5D7A">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2,157.09</w:t>
            </w:r>
          </w:p>
        </w:tc>
        <w:tc>
          <w:tcPr>
            <w:tcW w:w="1499" w:type="dxa"/>
            <w:tcBorders>
              <w:left w:val="single" w:sz="6" w:space="0" w:color="000000"/>
              <w:bottom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2,155.33</w:t>
            </w:r>
          </w:p>
        </w:tc>
        <w:tc>
          <w:tcPr>
            <w:tcW w:w="1512" w:type="dxa"/>
            <w:tcBorders>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1,148.48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1,148.48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1,146.72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2012505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375.48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116.82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116.82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633.13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469.80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469.80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DA5D7A">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6E012F">
        <w:trPr>
          <w:trHeight w:val="319"/>
        </w:trPr>
        <w:tc>
          <w:tcPr>
            <w:tcW w:w="10473" w:type="dxa"/>
            <w:gridSpan w:val="5"/>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DA5D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DA5D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78" w:type="dxa"/>
            <w:vAlign w:val="center"/>
          </w:tcPr>
          <w:p w:rsidR="006E012F" w:rsidRDefault="00DA5D7A">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2,155.33</w:t>
            </w:r>
          </w:p>
        </w:tc>
        <w:tc>
          <w:tcPr>
            <w:tcW w:w="1708"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2,032.68</w:t>
            </w:r>
          </w:p>
        </w:tc>
        <w:tc>
          <w:tcPr>
            <w:tcW w:w="1878"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122.65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1,797.27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1,797.27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249.87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249.87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683.07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683.07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358.39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358.39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172.44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86.22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35.75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35.75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163.33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8.21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8.21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37.56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122.65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122.65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16.36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0.05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19.56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19.56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lastRenderedPageBreak/>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2.40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0.97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0.97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2.02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16.80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2.15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48.03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48.03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12.73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12.73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235.41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235.41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77.02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77.02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156.85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156.85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lastRenderedPageBreak/>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1.54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lastRenderedPageBreak/>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DA5D7A">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DA5D7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DA5D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8274" w:type="dxa"/>
            <w:gridSpan w:val="8"/>
            <w:tcBorders>
              <w:bottom w:val="single" w:sz="4" w:space="0" w:color="auto"/>
            </w:tcBorders>
          </w:tcPr>
          <w:p w:rsidR="006E012F" w:rsidRDefault="00DA5D7A">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DA5D7A">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DA5D7A">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公务</w:t>
            </w:r>
          </w:p>
          <w:p w:rsidR="006E012F" w:rsidRDefault="00DA5D7A">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DA5D7A">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DA5D7A">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公务</w:t>
            </w:r>
          </w:p>
          <w:p w:rsidR="006E012F" w:rsidRDefault="00DA5D7A">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7.46</w:t>
            </w:r>
          </w:p>
        </w:tc>
        <w:tc>
          <w:tcPr>
            <w:tcW w:w="1042"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9"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6"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4.29</w:t>
            </w:r>
          </w:p>
        </w:tc>
        <w:tc>
          <w:tcPr>
            <w:tcW w:w="1043" w:type="dxa"/>
            <w:tcBorders>
              <w:left w:val="single" w:sz="4" w:space="0" w:color="000000"/>
              <w:bottom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10"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58"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4.49</w:t>
            </w:r>
          </w:p>
        </w:tc>
        <w:tc>
          <w:tcPr>
            <w:tcW w:w="1010"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0.76</w:t>
            </w:r>
          </w:p>
        </w:tc>
        <w:tc>
          <w:tcPr>
            <w:tcW w:w="948"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2.15</w:t>
            </w:r>
          </w:p>
        </w:tc>
        <w:tc>
          <w:tcPr>
            <w:tcW w:w="1089"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2.15</w:t>
            </w:r>
          </w:p>
        </w:tc>
        <w:tc>
          <w:tcPr>
            <w:tcW w:w="1043"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1.58</w:t>
            </w:r>
          </w:p>
        </w:tc>
        <w:tc>
          <w:tcPr>
            <w:tcW w:w="1057"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sz w:val="18"/>
                <w:szCs w:val="18"/>
              </w:rPr>
            </w:pPr>
            <w:r>
              <w:rPr>
                <w:rFonts w:ascii="仿宋" w:eastAsia="仿宋" w:hAnsi="仿宋" w:cs="仿宋" w:hint="eastAsia"/>
                <w:sz w:val="18"/>
                <w:szCs w:val="18"/>
              </w:rPr>
              <w:t>2.02</w:t>
            </w:r>
          </w:p>
        </w:tc>
      </w:tr>
    </w:tbl>
    <w:p w:rsidR="006E012F" w:rsidRDefault="00DA5D7A">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9</w:t>
            </w:r>
          </w:p>
        </w:tc>
        <w:tc>
          <w:tcPr>
            <w:tcW w:w="3908"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101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8</w:t>
            </w:r>
          </w:p>
        </w:tc>
      </w:tr>
    </w:tbl>
    <w:p w:rsidR="006E012F" w:rsidRDefault="00DA5D7A">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rsidP="00407404">
      <w:pPr>
        <w:ind w:left="227" w:firstLineChars="100" w:firstLine="231"/>
        <w:jc w:val="both"/>
        <w:rPr>
          <w:rFonts w:ascii="仿宋" w:eastAsia="仿宋" w:hAnsi="仿宋" w:cs="仿宋"/>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6E012F">
        <w:trPr>
          <w:trHeight w:val="395"/>
        </w:trPr>
        <w:tc>
          <w:tcPr>
            <w:tcW w:w="15400" w:type="dxa"/>
            <w:gridSpan w:val="5"/>
            <w:vAlign w:val="center"/>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DA5D7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DA5D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58" w:type="dxa"/>
            <w:vAlign w:val="center"/>
          </w:tcPr>
          <w:p w:rsidR="006E012F" w:rsidRDefault="00DA5D7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功能分类</w:t>
            </w:r>
          </w:p>
          <w:p w:rsidR="006E012F" w:rsidRDefault="00DA5D7A">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A5D7A">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DA5D7A">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6E012F">
        <w:trPr>
          <w:trHeight w:val="395"/>
        </w:trPr>
        <w:tc>
          <w:tcPr>
            <w:tcW w:w="15400" w:type="dxa"/>
            <w:gridSpan w:val="5"/>
            <w:vAlign w:val="center"/>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DA5D7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DA5D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061" w:type="dxa"/>
            <w:vAlign w:val="center"/>
          </w:tcPr>
          <w:p w:rsidR="006E012F" w:rsidRDefault="00DA5D7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功能分类</w:t>
            </w:r>
          </w:p>
          <w:p w:rsidR="006E012F" w:rsidRDefault="00DA5D7A">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A5D7A">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DA5D7A">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6E012F">
        <w:trPr>
          <w:trHeight w:val="319"/>
        </w:trPr>
        <w:tc>
          <w:tcPr>
            <w:tcW w:w="10466" w:type="dxa"/>
            <w:gridSpan w:val="3"/>
          </w:tcPr>
          <w:p w:rsidR="006E012F" w:rsidRDefault="00DA5D7A">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DA5D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DA5D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834" w:type="dxa"/>
            <w:vAlign w:val="center"/>
          </w:tcPr>
          <w:p w:rsidR="006E012F" w:rsidRDefault="00DA5D7A">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DA5D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122.65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122.65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16.36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0.05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19.56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2.40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0.97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2.02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1.58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16.80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lastRenderedPageBreak/>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2.15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48.03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DA5D7A">
            <w:pPr>
              <w:jc w:val="right"/>
              <w:rPr>
                <w:rFonts w:ascii="仿宋" w:eastAsia="仿宋" w:hAnsi="仿宋" w:cs="仿宋"/>
              </w:rPr>
            </w:pPr>
            <w:r>
              <w:rPr>
                <w:rFonts w:ascii="仿宋" w:eastAsia="仿宋" w:hAnsi="仿宋" w:cs="仿宋" w:hint="eastAsia"/>
              </w:rPr>
              <w:t>12.73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A5D7A">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6E012F">
        <w:trPr>
          <w:trHeight w:val="333"/>
        </w:trPr>
        <w:tc>
          <w:tcPr>
            <w:tcW w:w="10459" w:type="dxa"/>
            <w:gridSpan w:val="4"/>
            <w:vAlign w:val="center"/>
          </w:tcPr>
          <w:p w:rsidR="006E012F" w:rsidRDefault="00DA5D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DA5D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DA5D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73" w:type="dxa"/>
            <w:vAlign w:val="center"/>
          </w:tcPr>
          <w:p w:rsidR="006E012F" w:rsidRDefault="00DA5D7A">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DA5D7A">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A5D7A">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7"/>
        </w:trPr>
        <w:tc>
          <w:tcPr>
            <w:tcW w:w="4472"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DA5D7A">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277"/>
        </w:trPr>
        <w:tc>
          <w:tcPr>
            <w:tcW w:w="4472"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DA5D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DA5D7A">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DA5D7A">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一、收入支出决算总体情况说明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2,553.22</w:t>
      </w:r>
      <w:r>
        <w:rPr>
          <w:rFonts w:ascii="仿宋" w:eastAsia="仿宋" w:hAnsi="仿宋" w:cs="仿宋"/>
        </w:rPr>
        <w:t>万元。与上年相比，收、支总计各减少</w:t>
      </w:r>
      <w:r>
        <w:rPr>
          <w:rFonts w:ascii="仿宋" w:eastAsia="仿宋" w:hAnsi="仿宋" w:cs="仿宋"/>
        </w:rPr>
        <w:t>199.18</w:t>
      </w:r>
      <w:r>
        <w:rPr>
          <w:rFonts w:ascii="仿宋" w:eastAsia="仿宋" w:hAnsi="仿宋" w:cs="仿宋"/>
        </w:rPr>
        <w:t>万元，减少</w:t>
      </w:r>
      <w:r>
        <w:rPr>
          <w:rFonts w:ascii="仿宋" w:eastAsia="仿宋" w:hAnsi="仿宋" w:cs="仿宋"/>
        </w:rPr>
        <w:t>7.24%</w:t>
      </w:r>
      <w:r>
        <w:rPr>
          <w:rFonts w:ascii="仿宋" w:eastAsia="仿宋" w:hAnsi="仿宋" w:cs="仿宋"/>
        </w:rPr>
        <w:t>。其中：</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2,553.22</w:t>
      </w:r>
      <w:r>
        <w:rPr>
          <w:rFonts w:ascii="仿宋" w:eastAsia="仿宋" w:hAnsi="仿宋" w:cs="仿宋"/>
          <w:b/>
        </w:rPr>
        <w:t>万元。包括：</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2,162.92</w:t>
      </w:r>
      <w:r>
        <w:rPr>
          <w:rFonts w:ascii="仿宋" w:eastAsia="仿宋" w:hAnsi="仿宋" w:cs="仿宋"/>
        </w:rPr>
        <w:t>万元。与上年相比，减少</w:t>
      </w:r>
      <w:r>
        <w:rPr>
          <w:rFonts w:ascii="仿宋" w:eastAsia="仿宋" w:hAnsi="仿宋" w:cs="仿宋"/>
        </w:rPr>
        <w:t>221.87</w:t>
      </w:r>
      <w:r>
        <w:rPr>
          <w:rFonts w:ascii="仿宋" w:eastAsia="仿宋" w:hAnsi="仿宋" w:cs="仿宋"/>
        </w:rPr>
        <w:t>万元，减少</w:t>
      </w:r>
      <w:r>
        <w:rPr>
          <w:rFonts w:ascii="仿宋" w:eastAsia="仿宋" w:hAnsi="仿宋" w:cs="仿宋"/>
        </w:rPr>
        <w:t>9.3%</w:t>
      </w:r>
      <w:r>
        <w:rPr>
          <w:rFonts w:ascii="仿宋" w:eastAsia="仿宋" w:hAnsi="仿宋" w:cs="仿宋"/>
        </w:rPr>
        <w:t>，变动原因：压减经费收支。</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390.3</w:t>
      </w:r>
      <w:r>
        <w:rPr>
          <w:rFonts w:ascii="仿宋" w:eastAsia="仿宋" w:hAnsi="仿宋" w:cs="仿宋"/>
        </w:rPr>
        <w:t>万元。与上年相比，增加</w:t>
      </w:r>
      <w:r>
        <w:rPr>
          <w:rFonts w:ascii="仿宋" w:eastAsia="仿宋" w:hAnsi="仿宋" w:cs="仿宋"/>
        </w:rPr>
        <w:t>22.69</w:t>
      </w:r>
      <w:r>
        <w:rPr>
          <w:rFonts w:ascii="仿宋" w:eastAsia="仿宋" w:hAnsi="仿宋" w:cs="仿宋"/>
        </w:rPr>
        <w:t>万元，增长</w:t>
      </w:r>
      <w:r>
        <w:rPr>
          <w:rFonts w:ascii="仿宋" w:eastAsia="仿宋" w:hAnsi="仿宋" w:cs="仿宋"/>
        </w:rPr>
        <w:t>6.17%</w:t>
      </w:r>
      <w:r>
        <w:rPr>
          <w:rFonts w:ascii="仿宋" w:eastAsia="仿宋" w:hAnsi="仿宋" w:cs="仿宋"/>
        </w:rPr>
        <w:t>，变动原因：当年年初结转和结余增加。</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2,553</w:t>
      </w:r>
      <w:r>
        <w:rPr>
          <w:rFonts w:ascii="仿宋" w:eastAsia="仿宋" w:hAnsi="仿宋" w:cs="仿宋"/>
          <w:b/>
        </w:rPr>
        <w:t>.22</w:t>
      </w:r>
      <w:r>
        <w:rPr>
          <w:rFonts w:ascii="仿宋" w:eastAsia="仿宋" w:hAnsi="仿宋" w:cs="仿宋"/>
          <w:b/>
        </w:rPr>
        <w:t>万元。包括：</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2,158.54</w:t>
      </w:r>
      <w:r>
        <w:rPr>
          <w:rFonts w:ascii="仿宋" w:eastAsia="仿宋" w:hAnsi="仿宋" w:cs="仿宋"/>
        </w:rPr>
        <w:t>万元。与上年相比，减少</w:t>
      </w:r>
      <w:r>
        <w:rPr>
          <w:rFonts w:ascii="仿宋" w:eastAsia="仿宋" w:hAnsi="仿宋" w:cs="仿宋"/>
        </w:rPr>
        <w:t>203.56</w:t>
      </w:r>
      <w:r>
        <w:rPr>
          <w:rFonts w:ascii="仿宋" w:eastAsia="仿宋" w:hAnsi="仿宋" w:cs="仿宋"/>
        </w:rPr>
        <w:t>万元，减少</w:t>
      </w:r>
      <w:r>
        <w:rPr>
          <w:rFonts w:ascii="仿宋" w:eastAsia="仿宋" w:hAnsi="仿宋" w:cs="仿宋"/>
        </w:rPr>
        <w:t>8.62%</w:t>
      </w:r>
      <w:r>
        <w:rPr>
          <w:rFonts w:ascii="仿宋" w:eastAsia="仿宋" w:hAnsi="仿宋" w:cs="仿宋"/>
        </w:rPr>
        <w:t>，变动原因：压减经费收支。</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394.68</w:t>
      </w:r>
      <w:r>
        <w:rPr>
          <w:rFonts w:ascii="仿宋" w:eastAsia="仿宋" w:hAnsi="仿宋" w:cs="仿宋"/>
        </w:rPr>
        <w:t>万元。结转和结余事项：银行托收户预扣个税、养老保险等。与上年相比，增加</w:t>
      </w:r>
      <w:r>
        <w:rPr>
          <w:rFonts w:ascii="仿宋" w:eastAsia="仿宋" w:hAnsi="仿宋" w:cs="仿宋"/>
        </w:rPr>
        <w:t>4.38</w:t>
      </w:r>
      <w:r>
        <w:rPr>
          <w:rFonts w:ascii="仿宋" w:eastAsia="仿宋" w:hAnsi="仿宋" w:cs="仿宋"/>
        </w:rPr>
        <w:t>万</w:t>
      </w:r>
      <w:r>
        <w:rPr>
          <w:rFonts w:ascii="仿宋" w:eastAsia="仿宋" w:hAnsi="仿宋" w:cs="仿宋"/>
        </w:rPr>
        <w:lastRenderedPageBreak/>
        <w:t>元，增长</w:t>
      </w:r>
      <w:r>
        <w:rPr>
          <w:rFonts w:ascii="仿宋" w:eastAsia="仿宋" w:hAnsi="仿宋" w:cs="仿宋"/>
        </w:rPr>
        <w:t>1.12%</w:t>
      </w:r>
      <w:r>
        <w:rPr>
          <w:rFonts w:ascii="仿宋" w:eastAsia="仿宋" w:hAnsi="仿宋" w:cs="仿宋"/>
        </w:rPr>
        <w:t>，变动原因：银行托收户预扣个税、养老保险等增加。</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2,162.92</w:t>
      </w:r>
      <w:r>
        <w:rPr>
          <w:rFonts w:ascii="仿宋" w:eastAsia="仿宋" w:hAnsi="仿宋" w:cs="仿宋"/>
        </w:rPr>
        <w:t>万元，其中：财政拨款收入</w:t>
      </w:r>
      <w:r>
        <w:rPr>
          <w:rFonts w:ascii="仿宋" w:eastAsia="仿宋" w:hAnsi="仿宋" w:cs="仿宋"/>
        </w:rPr>
        <w:t>2,161.47</w:t>
      </w:r>
      <w:r>
        <w:rPr>
          <w:rFonts w:ascii="仿宋" w:eastAsia="仿宋" w:hAnsi="仿宋" w:cs="仿宋"/>
        </w:rPr>
        <w:t>万元，占</w:t>
      </w:r>
      <w:r>
        <w:rPr>
          <w:rFonts w:ascii="仿宋" w:eastAsia="仿宋" w:hAnsi="仿宋" w:cs="仿宋"/>
        </w:rPr>
        <w:t>99.93%</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1.45</w:t>
      </w:r>
      <w:r>
        <w:rPr>
          <w:rFonts w:ascii="仿宋" w:eastAsia="仿宋" w:hAnsi="仿宋" w:cs="仿宋"/>
        </w:rPr>
        <w:t>万元，占</w:t>
      </w:r>
      <w:r>
        <w:rPr>
          <w:rFonts w:ascii="仿宋" w:eastAsia="仿宋" w:hAnsi="仿宋" w:cs="仿宋"/>
        </w:rPr>
        <w:t>0.07%</w:t>
      </w:r>
      <w:r>
        <w:rPr>
          <w:rFonts w:ascii="仿宋" w:eastAsia="仿宋" w:hAnsi="仿宋" w:cs="仿宋"/>
        </w:rPr>
        <w:t>。</w:t>
      </w:r>
    </w:p>
    <w:p w:rsidR="006E012F" w:rsidRDefault="00DA5D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2" cstate="print"/>
                    <a:stretch>
                      <a:fillRect/>
                    </a:stretch>
                  </pic:blipFill>
                  <pic:spPr>
                    <a:xfrm>
                      <a:off x="0" y="0"/>
                      <a:ext cx="6134100" cy="3429000"/>
                    </a:xfrm>
                    <a:prstGeom prst="rect">
                      <a:avLst/>
                    </a:prstGeom>
                  </pic:spPr>
                </pic:pic>
              </a:graphicData>
            </a:graphic>
          </wp:inline>
        </w:drawing>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年度本年支出决算合计</w:t>
      </w:r>
      <w:r>
        <w:rPr>
          <w:rFonts w:ascii="仿宋" w:eastAsia="仿宋" w:hAnsi="仿宋" w:cs="仿宋"/>
        </w:rPr>
        <w:t>2,158.54</w:t>
      </w:r>
      <w:r>
        <w:rPr>
          <w:rFonts w:ascii="仿宋" w:eastAsia="仿宋" w:hAnsi="仿宋" w:cs="仿宋"/>
        </w:rPr>
        <w:t>万元，其中：基本支出</w:t>
      </w:r>
      <w:r>
        <w:rPr>
          <w:rFonts w:ascii="仿宋" w:eastAsia="仿宋" w:hAnsi="仿宋" w:cs="仿宋"/>
        </w:rPr>
        <w:t>2,156.78</w:t>
      </w:r>
      <w:r>
        <w:rPr>
          <w:rFonts w:ascii="仿宋" w:eastAsia="仿宋" w:hAnsi="仿宋" w:cs="仿宋"/>
        </w:rPr>
        <w:t>万元，占</w:t>
      </w:r>
      <w:r>
        <w:rPr>
          <w:rFonts w:ascii="仿宋" w:eastAsia="仿宋" w:hAnsi="仿宋" w:cs="仿宋"/>
        </w:rPr>
        <w:t>99.92%</w:t>
      </w:r>
      <w:r>
        <w:rPr>
          <w:rFonts w:ascii="仿宋" w:eastAsia="仿宋" w:hAnsi="仿宋" w:cs="仿宋"/>
        </w:rPr>
        <w:t>；项目支出</w:t>
      </w:r>
      <w:r>
        <w:rPr>
          <w:rFonts w:ascii="仿宋" w:eastAsia="仿宋" w:hAnsi="仿宋" w:cs="仿宋"/>
        </w:rPr>
        <w:t>1.76</w:t>
      </w:r>
      <w:r>
        <w:rPr>
          <w:rFonts w:ascii="仿宋" w:eastAsia="仿宋" w:hAnsi="仿宋" w:cs="仿宋"/>
        </w:rPr>
        <w:t>万元，占</w:t>
      </w:r>
      <w:r>
        <w:rPr>
          <w:rFonts w:ascii="仿宋" w:eastAsia="仿宋" w:hAnsi="仿宋" w:cs="仿宋"/>
        </w:rPr>
        <w:t>0.08%</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DA5D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四、财政拨款收入支出决算总体情况说明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2,551.77</w:t>
      </w:r>
      <w:r>
        <w:rPr>
          <w:rFonts w:ascii="仿宋" w:eastAsia="仿宋" w:hAnsi="仿宋" w:cs="仿宋"/>
        </w:rPr>
        <w:t>万元。与上年相比，收、支总计各减少</w:t>
      </w:r>
      <w:r>
        <w:rPr>
          <w:rFonts w:ascii="仿宋" w:eastAsia="仿宋" w:hAnsi="仿宋" w:cs="仿宋"/>
        </w:rPr>
        <w:t>199.86</w:t>
      </w:r>
      <w:r>
        <w:rPr>
          <w:rFonts w:ascii="仿宋" w:eastAsia="仿宋" w:hAnsi="仿宋" w:cs="仿宋"/>
        </w:rPr>
        <w:t>万元，减少</w:t>
      </w:r>
      <w:r>
        <w:rPr>
          <w:rFonts w:ascii="仿宋" w:eastAsia="仿宋" w:hAnsi="仿宋" w:cs="仿宋"/>
        </w:rPr>
        <w:t>7.26%</w:t>
      </w:r>
      <w:r>
        <w:rPr>
          <w:rFonts w:ascii="仿宋" w:eastAsia="仿宋" w:hAnsi="仿宋" w:cs="仿宋"/>
        </w:rPr>
        <w:t>，变动原因：压减经费收支。</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财政拨款支出决算反映的是一般公共预算、政府性基金</w:t>
      </w:r>
      <w:r>
        <w:rPr>
          <w:rFonts w:ascii="仿宋" w:eastAsia="仿宋" w:hAnsi="仿宋" w:cs="仿宋"/>
        </w:rPr>
        <w:lastRenderedPageBreak/>
        <w:t>预算和国有资本经营预算财政拨款支出的总体情况，既包括使用本年从本级财政取得的财政拨款发生的支出，也包括使用上年度财政拨款结转资金发生的支出。</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2,157.09</w:t>
      </w:r>
      <w:r>
        <w:rPr>
          <w:rFonts w:ascii="仿宋" w:eastAsia="仿宋" w:hAnsi="仿宋" w:cs="仿宋"/>
        </w:rPr>
        <w:t>万元，占本年支出合计的</w:t>
      </w:r>
      <w:r>
        <w:rPr>
          <w:rFonts w:ascii="仿宋" w:eastAsia="仿宋" w:hAnsi="仿宋" w:cs="仿宋"/>
        </w:rPr>
        <w:t>99.93%</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1,939.04</w:t>
      </w:r>
      <w:r>
        <w:rPr>
          <w:rFonts w:ascii="仿宋" w:eastAsia="仿宋" w:hAnsi="仿宋" w:cs="仿宋"/>
        </w:rPr>
        <w:t>万元相比，完成年初预算的</w:t>
      </w:r>
      <w:r>
        <w:rPr>
          <w:rFonts w:ascii="仿宋" w:eastAsia="仿宋" w:hAnsi="仿宋" w:cs="仿宋"/>
        </w:rPr>
        <w:t>111.25%</w:t>
      </w:r>
      <w:r>
        <w:rPr>
          <w:rFonts w:ascii="仿宋" w:eastAsia="仿宋" w:hAnsi="仿宋" w:cs="仿宋"/>
        </w:rPr>
        <w:t>。其中：</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（一）一般公共服务支出（类）</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港澳台事务（款）行政运行（项）。年初预算</w:t>
      </w:r>
      <w:r>
        <w:rPr>
          <w:rFonts w:ascii="仿宋" w:eastAsia="仿宋" w:hAnsi="仿宋" w:cs="仿宋"/>
        </w:rPr>
        <w:t>1,054.3</w:t>
      </w:r>
      <w:r>
        <w:rPr>
          <w:rFonts w:ascii="仿宋" w:eastAsia="仿宋" w:hAnsi="仿宋" w:cs="仿宋"/>
        </w:rPr>
        <w:t>万元，支出决算</w:t>
      </w:r>
      <w:r>
        <w:rPr>
          <w:rFonts w:ascii="仿宋" w:eastAsia="仿宋" w:hAnsi="仿宋" w:cs="仿宋"/>
        </w:rPr>
        <w:t>1,146.72</w:t>
      </w:r>
      <w:r>
        <w:rPr>
          <w:rFonts w:ascii="仿宋" w:eastAsia="仿宋" w:hAnsi="仿宋" w:cs="仿宋"/>
        </w:rPr>
        <w:t>万元，完成年初预算的</w:t>
      </w:r>
      <w:r>
        <w:rPr>
          <w:rFonts w:ascii="仿宋" w:eastAsia="仿宋" w:hAnsi="仿宋" w:cs="仿宋"/>
        </w:rPr>
        <w:t>108.77%</w:t>
      </w:r>
      <w:r>
        <w:rPr>
          <w:rFonts w:ascii="仿宋" w:eastAsia="仿宋" w:hAnsi="仿宋" w:cs="仿宋"/>
        </w:rPr>
        <w:t>。决算数与年初预算数的差异原因：养老保险政策调整。</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港澳台事务（款）台湾事务（项）。年初预算</w:t>
      </w:r>
      <w:r>
        <w:rPr>
          <w:rFonts w:ascii="仿宋" w:eastAsia="仿宋" w:hAnsi="仿宋" w:cs="仿宋"/>
        </w:rPr>
        <w:t>7.62</w:t>
      </w:r>
      <w:r>
        <w:rPr>
          <w:rFonts w:ascii="仿宋" w:eastAsia="仿宋" w:hAnsi="仿宋" w:cs="仿宋"/>
        </w:rPr>
        <w:t>万元，支出决算</w:t>
      </w:r>
      <w:r>
        <w:rPr>
          <w:rFonts w:ascii="仿宋" w:eastAsia="仿宋" w:hAnsi="仿宋" w:cs="仿宋"/>
        </w:rPr>
        <w:t>1.76</w:t>
      </w:r>
      <w:r>
        <w:rPr>
          <w:rFonts w:ascii="仿宋" w:eastAsia="仿宋" w:hAnsi="仿宋" w:cs="仿宋"/>
        </w:rPr>
        <w:t>万元，完成年初预算的</w:t>
      </w:r>
      <w:r>
        <w:rPr>
          <w:rFonts w:ascii="仿宋" w:eastAsia="仿宋" w:hAnsi="仿宋" w:cs="仿宋"/>
        </w:rPr>
        <w:t>23.1%</w:t>
      </w:r>
      <w:r>
        <w:rPr>
          <w:rFonts w:ascii="仿宋" w:eastAsia="仿宋" w:hAnsi="仿宋" w:cs="仿宋"/>
        </w:rPr>
        <w:t>。决算数与年初预算数的差异</w:t>
      </w:r>
      <w:r>
        <w:rPr>
          <w:rFonts w:ascii="仿宋" w:eastAsia="仿宋" w:hAnsi="仿宋" w:cs="仿宋"/>
        </w:rPr>
        <w:t>原因：压减经费支出。</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港澳台事务（款）其他港澳台事务支出（项）。年初预算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（二）社会保障和就业支出（类）</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行政事业单位养老支出（款）行政单位离退休（项）。年初预算</w:t>
      </w:r>
      <w:r>
        <w:rPr>
          <w:rFonts w:ascii="仿宋" w:eastAsia="仿宋" w:hAnsi="仿宋" w:cs="仿宋"/>
        </w:rPr>
        <w:t>116.82</w:t>
      </w:r>
      <w:r>
        <w:rPr>
          <w:rFonts w:ascii="仿宋" w:eastAsia="仿宋" w:hAnsi="仿宋" w:cs="仿宋"/>
        </w:rPr>
        <w:t>万元，支出决算</w:t>
      </w:r>
      <w:r>
        <w:rPr>
          <w:rFonts w:ascii="仿宋" w:eastAsia="仿宋" w:hAnsi="仿宋" w:cs="仿宋"/>
        </w:rPr>
        <w:t>116.82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84.78</w:t>
      </w:r>
      <w:r>
        <w:rPr>
          <w:rFonts w:ascii="仿宋" w:eastAsia="仿宋" w:hAnsi="仿宋" w:cs="仿宋"/>
        </w:rPr>
        <w:t>万元，支出决算</w:t>
      </w:r>
      <w:r>
        <w:rPr>
          <w:rFonts w:ascii="仿宋" w:eastAsia="仿宋" w:hAnsi="仿宋" w:cs="仿宋"/>
        </w:rPr>
        <w:t>172.44</w:t>
      </w:r>
      <w:r>
        <w:rPr>
          <w:rFonts w:ascii="仿宋" w:eastAsia="仿宋" w:hAnsi="仿宋" w:cs="仿宋"/>
        </w:rPr>
        <w:t>万元，完成年初预算的</w:t>
      </w:r>
      <w:r>
        <w:rPr>
          <w:rFonts w:ascii="仿宋" w:eastAsia="仿宋" w:hAnsi="仿宋" w:cs="仿宋"/>
        </w:rPr>
        <w:t>203.4%</w:t>
      </w:r>
      <w:r>
        <w:rPr>
          <w:rFonts w:ascii="仿宋" w:eastAsia="仿宋" w:hAnsi="仿宋" w:cs="仿宋"/>
        </w:rPr>
        <w:t>。决算数与年初预算数的差异原因</w:t>
      </w:r>
      <w:r>
        <w:rPr>
          <w:rFonts w:ascii="仿宋" w:eastAsia="仿宋" w:hAnsi="仿宋" w:cs="仿宋"/>
        </w:rPr>
        <w:t>：养老保险政策调整。</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42.39</w:t>
      </w:r>
      <w:r>
        <w:rPr>
          <w:rFonts w:ascii="仿宋" w:eastAsia="仿宋" w:hAnsi="仿宋" w:cs="仿宋"/>
        </w:rPr>
        <w:t>万元，支出决算</w:t>
      </w:r>
      <w:r>
        <w:rPr>
          <w:rFonts w:ascii="仿宋" w:eastAsia="仿宋" w:hAnsi="仿宋" w:cs="仿宋"/>
        </w:rPr>
        <w:t>86.22</w:t>
      </w:r>
      <w:r>
        <w:rPr>
          <w:rFonts w:ascii="仿宋" w:eastAsia="仿宋" w:hAnsi="仿宋" w:cs="仿宋"/>
        </w:rPr>
        <w:t>万元，完成年初预算的</w:t>
      </w:r>
      <w:r>
        <w:rPr>
          <w:rFonts w:ascii="仿宋" w:eastAsia="仿宋" w:hAnsi="仿宋" w:cs="仿宋"/>
        </w:rPr>
        <w:t>203.4%</w:t>
      </w:r>
      <w:r>
        <w:rPr>
          <w:rFonts w:ascii="仿宋" w:eastAsia="仿宋" w:hAnsi="仿宋" w:cs="仿宋"/>
        </w:rPr>
        <w:t>。决算数与年初预算数的差异原因：养老保险政策调整。</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（三）住房保障支出（类）</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163.33</w:t>
      </w:r>
      <w:r>
        <w:rPr>
          <w:rFonts w:ascii="仿宋" w:eastAsia="仿宋" w:hAnsi="仿宋" w:cs="仿宋"/>
        </w:rPr>
        <w:t>万元，支出决算</w:t>
      </w:r>
      <w:r>
        <w:rPr>
          <w:rFonts w:ascii="仿宋" w:eastAsia="仿宋" w:hAnsi="仿宋" w:cs="仿宋"/>
        </w:rPr>
        <w:t>163.33</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469.8</w:t>
      </w:r>
      <w:r>
        <w:rPr>
          <w:rFonts w:ascii="仿宋" w:eastAsia="仿宋" w:hAnsi="仿宋" w:cs="仿宋"/>
        </w:rPr>
        <w:t>万元，支出决算</w:t>
      </w:r>
      <w:r>
        <w:rPr>
          <w:rFonts w:ascii="仿宋" w:eastAsia="仿宋" w:hAnsi="仿宋" w:cs="仿宋"/>
        </w:rPr>
        <w:t>469.8</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w:t>
      </w:r>
      <w:r>
        <w:rPr>
          <w:rFonts w:ascii="仿宋" w:eastAsia="仿宋" w:hAnsi="仿宋" w:cs="仿宋"/>
        </w:rPr>
        <w:lastRenderedPageBreak/>
        <w:t>与年初预算数相</w:t>
      </w:r>
      <w:r>
        <w:rPr>
          <w:rFonts w:ascii="仿宋" w:eastAsia="仿宋" w:hAnsi="仿宋" w:cs="仿宋"/>
        </w:rPr>
        <w:t>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2,155.33</w:t>
      </w:r>
      <w:r>
        <w:rPr>
          <w:rFonts w:ascii="仿宋" w:eastAsia="仿宋" w:hAnsi="仿宋" w:cs="仿宋"/>
        </w:rPr>
        <w:t>万元，其中：</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2,032.68</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其他对个人和家庭的补助。</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122.65</w:t>
      </w:r>
      <w:r>
        <w:rPr>
          <w:rFonts w:ascii="楷体" w:eastAsia="楷体" w:hAnsi="楷体" w:cs="楷体"/>
        </w:rPr>
        <w:t>万元。</w:t>
      </w:r>
      <w:r>
        <w:rPr>
          <w:rFonts w:ascii="仿宋" w:eastAsia="仿宋" w:hAnsi="仿宋" w:cs="仿宋"/>
        </w:rPr>
        <w:t>主要包括：办公费、印刷费、邮电费、差旅费、维修（护）费、培训费、公务接待费、工会经费、公务用车运行维护费、其他交通费用、其他商品和服务支出。</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2,157.09</w:t>
      </w:r>
      <w:r>
        <w:rPr>
          <w:rFonts w:ascii="仿宋" w:eastAsia="仿宋" w:hAnsi="仿宋" w:cs="仿宋"/>
        </w:rPr>
        <w:t>万元。与上年相比，减少</w:t>
      </w:r>
      <w:r>
        <w:rPr>
          <w:rFonts w:ascii="仿宋" w:eastAsia="仿宋" w:hAnsi="仿宋" w:cs="仿宋"/>
        </w:rPr>
        <w:t>204.24</w:t>
      </w:r>
      <w:r>
        <w:rPr>
          <w:rFonts w:ascii="仿宋" w:eastAsia="仿宋" w:hAnsi="仿宋" w:cs="仿宋"/>
        </w:rPr>
        <w:t>万元，减少</w:t>
      </w:r>
      <w:r>
        <w:rPr>
          <w:rFonts w:ascii="仿宋" w:eastAsia="仿宋" w:hAnsi="仿宋" w:cs="仿宋"/>
        </w:rPr>
        <w:t>8.65%</w:t>
      </w:r>
      <w:r>
        <w:rPr>
          <w:rFonts w:ascii="仿宋" w:eastAsia="仿宋" w:hAnsi="仿宋" w:cs="仿宋"/>
        </w:rPr>
        <w:t>，变动原因：压减经费支出。</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年度一般公共预算财政拨款基本支出决算</w:t>
      </w:r>
      <w:r>
        <w:rPr>
          <w:rFonts w:ascii="仿宋" w:eastAsia="仿宋" w:hAnsi="仿宋" w:cs="仿宋"/>
        </w:rPr>
        <w:t>2,155.33</w:t>
      </w:r>
      <w:r>
        <w:rPr>
          <w:rFonts w:ascii="仿宋" w:eastAsia="仿宋" w:hAnsi="仿宋" w:cs="仿宋"/>
        </w:rPr>
        <w:t>万元，其中：</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2,032.68</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其他对个人和家庭的</w:t>
      </w:r>
      <w:r>
        <w:rPr>
          <w:rFonts w:ascii="仿宋" w:eastAsia="仿宋" w:hAnsi="仿宋" w:cs="仿宋"/>
        </w:rPr>
        <w:t>补助。</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122.65</w:t>
      </w:r>
      <w:r>
        <w:rPr>
          <w:rFonts w:ascii="楷体" w:eastAsia="楷体" w:hAnsi="楷体" w:cs="楷体"/>
        </w:rPr>
        <w:t>万元。</w:t>
      </w:r>
      <w:r>
        <w:rPr>
          <w:rFonts w:ascii="仿宋" w:eastAsia="仿宋" w:hAnsi="仿宋" w:cs="仿宋"/>
        </w:rPr>
        <w:t>主要包括：办公费、印刷费、邮电费、差旅费、维修（护）费、培训费、公务接待费、工会经费、公务用车运行维护费、其他交通费用、其他商品和服务支出。</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4.49</w:t>
      </w:r>
      <w:r>
        <w:rPr>
          <w:rFonts w:ascii="仿宋" w:eastAsia="仿宋" w:hAnsi="仿宋" w:cs="仿宋"/>
        </w:rPr>
        <w:t>万元（其中：一般公共预算支出</w:t>
      </w:r>
      <w:r>
        <w:rPr>
          <w:rFonts w:ascii="仿宋" w:eastAsia="仿宋" w:hAnsi="仿宋" w:cs="仿宋"/>
        </w:rPr>
        <w:t>4.49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lastRenderedPageBreak/>
        <w:t>1.56</w:t>
      </w:r>
      <w:r>
        <w:rPr>
          <w:rFonts w:ascii="仿宋" w:eastAsia="仿宋" w:hAnsi="仿宋" w:cs="仿宋"/>
        </w:rPr>
        <w:t>万元，变动原因：</w:t>
      </w:r>
      <w:r>
        <w:rPr>
          <w:rFonts w:ascii="仿宋" w:eastAsia="仿宋" w:hAnsi="仿宋" w:cs="仿宋"/>
        </w:rPr>
        <w:t>2023</w:t>
      </w:r>
      <w:r>
        <w:rPr>
          <w:rFonts w:ascii="仿宋" w:eastAsia="仿宋" w:hAnsi="仿宋" w:cs="仿宋"/>
        </w:rPr>
        <w:t>年度因公出国（境）费、公务用车购置及</w:t>
      </w:r>
      <w:r>
        <w:rPr>
          <w:rFonts w:ascii="仿宋" w:eastAsia="仿宋" w:hAnsi="仿宋" w:cs="仿宋"/>
        </w:rPr>
        <w:t>运行维护费、公务接待费支出较</w:t>
      </w:r>
      <w:r>
        <w:rPr>
          <w:rFonts w:ascii="仿宋" w:eastAsia="仿宋" w:hAnsi="仿宋" w:cs="仿宋"/>
        </w:rPr>
        <w:t>2022</w:t>
      </w:r>
      <w:r>
        <w:rPr>
          <w:rFonts w:ascii="仿宋" w:eastAsia="仿宋" w:hAnsi="仿宋" w:cs="仿宋"/>
        </w:rPr>
        <w:t>年增加。其中，因公出国（境）费支出</w:t>
      </w:r>
      <w:r>
        <w:rPr>
          <w:rFonts w:ascii="仿宋" w:eastAsia="仿宋" w:hAnsi="仿宋" w:cs="仿宋"/>
        </w:rPr>
        <w:t>0.76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16.93%</w:t>
      </w:r>
      <w:r>
        <w:rPr>
          <w:rFonts w:ascii="仿宋" w:eastAsia="仿宋" w:hAnsi="仿宋" w:cs="仿宋"/>
        </w:rPr>
        <w:t>；公务用车购置及运行维护费支出</w:t>
      </w:r>
      <w:r>
        <w:rPr>
          <w:rFonts w:ascii="仿宋" w:eastAsia="仿宋" w:hAnsi="仿宋" w:cs="仿宋"/>
        </w:rPr>
        <w:t>2.15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47.88%</w:t>
      </w:r>
      <w:r>
        <w:rPr>
          <w:rFonts w:ascii="仿宋" w:eastAsia="仿宋" w:hAnsi="仿宋" w:cs="仿宋"/>
        </w:rPr>
        <w:t>；公务接待费支出</w:t>
      </w:r>
      <w:r>
        <w:rPr>
          <w:rFonts w:ascii="仿宋" w:eastAsia="仿宋" w:hAnsi="仿宋" w:cs="仿宋"/>
        </w:rPr>
        <w:t>1.58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35.19%</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7.46</w:t>
      </w:r>
      <w:r>
        <w:rPr>
          <w:rFonts w:ascii="仿宋" w:eastAsia="仿宋" w:hAnsi="仿宋" w:cs="仿宋"/>
        </w:rPr>
        <w:t>万元（其中：一般公共预算支出</w:t>
      </w:r>
      <w:r>
        <w:rPr>
          <w:rFonts w:ascii="仿宋" w:eastAsia="仿宋" w:hAnsi="仿宋" w:cs="仿宋"/>
        </w:rPr>
        <w:t>7.46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万元）。决算数与预算数的差异原因：加强了</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经费的管理。</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w:t>
      </w:r>
      <w:r>
        <w:rPr>
          <w:rFonts w:ascii="仿宋" w:eastAsia="仿宋" w:hAnsi="仿宋" w:cs="仿宋"/>
        </w:rPr>
        <w:t>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0.76</w:t>
      </w:r>
      <w:r>
        <w:rPr>
          <w:rFonts w:ascii="仿宋" w:eastAsia="仿宋" w:hAnsi="仿宋" w:cs="仿宋"/>
        </w:rPr>
        <w:t>万元（其中：一般公共预算支出</w:t>
      </w:r>
      <w:r>
        <w:rPr>
          <w:rFonts w:ascii="仿宋" w:eastAsia="仿宋" w:hAnsi="仿宋" w:cs="仿宋"/>
        </w:rPr>
        <w:t>0.76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万元），（预算数为</w:t>
      </w:r>
      <w:r>
        <w:rPr>
          <w:rFonts w:ascii="仿宋" w:eastAsia="仿宋" w:hAnsi="仿宋" w:cs="仿宋"/>
        </w:rPr>
        <w:t>0</w:t>
      </w:r>
      <w:r>
        <w:rPr>
          <w:rFonts w:ascii="仿宋" w:eastAsia="仿宋" w:hAnsi="仿宋" w:cs="仿宋"/>
        </w:rPr>
        <w:t>万元，无法计算完成比率），决算数与预算数的差异原因：临时参团</w:t>
      </w:r>
      <w:r>
        <w:rPr>
          <w:rFonts w:ascii="仿宋" w:eastAsia="仿宋" w:hAnsi="仿宋" w:cs="仿宋"/>
        </w:rPr>
        <w:t>1</w:t>
      </w:r>
      <w:r>
        <w:rPr>
          <w:rFonts w:ascii="仿宋" w:eastAsia="仿宋" w:hAnsi="仿宋" w:cs="仿宋"/>
        </w:rPr>
        <w:t>人。全年使用财政拨款涉及的出国（境）团组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1</w:t>
      </w:r>
      <w:r>
        <w:rPr>
          <w:rFonts w:ascii="仿宋" w:eastAsia="仿宋" w:hAnsi="仿宋" w:cs="仿宋"/>
        </w:rPr>
        <w:t>人次。开</w:t>
      </w:r>
      <w:r>
        <w:rPr>
          <w:rFonts w:ascii="仿宋" w:eastAsia="仿宋" w:hAnsi="仿宋" w:cs="仿宋"/>
        </w:rPr>
        <w:lastRenderedPageBreak/>
        <w:t>支内容：</w:t>
      </w:r>
      <w:r>
        <w:rPr>
          <w:rFonts w:ascii="仿宋" w:eastAsia="仿宋" w:hAnsi="仿宋" w:cs="仿宋"/>
        </w:rPr>
        <w:t>1</w:t>
      </w:r>
      <w:r>
        <w:rPr>
          <w:rFonts w:ascii="仿宋" w:eastAsia="仿宋" w:hAnsi="仿宋" w:cs="仿宋"/>
        </w:rPr>
        <w:t>人参团赴澳门参加活动。</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3.17</w:t>
      </w:r>
      <w:r>
        <w:rPr>
          <w:rFonts w:ascii="仿宋" w:eastAsia="仿宋" w:hAnsi="仿宋" w:cs="仿宋"/>
        </w:rPr>
        <w:t>万元（其中：一般公共预算支出</w:t>
      </w:r>
      <w:r>
        <w:rPr>
          <w:rFonts w:ascii="仿宋" w:eastAsia="仿宋" w:hAnsi="仿宋" w:cs="仿宋"/>
        </w:rPr>
        <w:t>3.17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w:t>
      </w:r>
      <w:r>
        <w:rPr>
          <w:rFonts w:ascii="仿宋" w:eastAsia="仿宋" w:hAnsi="仿宋" w:cs="仿宋"/>
        </w:rPr>
        <w:t>出</w:t>
      </w:r>
      <w:r>
        <w:rPr>
          <w:rFonts w:ascii="仿宋" w:eastAsia="仿宋" w:hAnsi="仿宋" w:cs="仿宋"/>
        </w:rPr>
        <w:t>0</w:t>
      </w:r>
      <w:r>
        <w:rPr>
          <w:rFonts w:ascii="仿宋" w:eastAsia="仿宋" w:hAnsi="仿宋" w:cs="仿宋"/>
        </w:rPr>
        <w:t>万元），支出决算</w:t>
      </w:r>
      <w:r>
        <w:rPr>
          <w:rFonts w:ascii="仿宋" w:eastAsia="仿宋" w:hAnsi="仿宋" w:cs="仿宋"/>
        </w:rPr>
        <w:t>2.15</w:t>
      </w:r>
      <w:r>
        <w:rPr>
          <w:rFonts w:ascii="仿宋" w:eastAsia="仿宋" w:hAnsi="仿宋" w:cs="仿宋"/>
        </w:rPr>
        <w:t>万元（其中：一般公共预算支出</w:t>
      </w:r>
      <w:r>
        <w:rPr>
          <w:rFonts w:ascii="仿宋" w:eastAsia="仿宋" w:hAnsi="仿宋" w:cs="仿宋"/>
        </w:rPr>
        <w:t>2.15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67.82%</w:t>
      </w:r>
      <w:r>
        <w:rPr>
          <w:rFonts w:ascii="仿宋" w:eastAsia="仿宋" w:hAnsi="仿宋" w:cs="仿宋"/>
        </w:rPr>
        <w:t>，决算数与预算数的差异原因：加强了公车运维费的管理。其中：</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2.15</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w:t>
      </w:r>
      <w:r>
        <w:rPr>
          <w:rFonts w:ascii="仿宋" w:eastAsia="仿宋" w:hAnsi="仿宋" w:cs="仿宋"/>
        </w:rPr>
        <w:t>务接待费支出预算</w:t>
      </w:r>
      <w:r>
        <w:rPr>
          <w:rFonts w:ascii="仿宋" w:eastAsia="仿宋" w:hAnsi="仿宋" w:cs="仿宋"/>
        </w:rPr>
        <w:t>4.29</w:t>
      </w:r>
      <w:r>
        <w:rPr>
          <w:rFonts w:ascii="仿宋" w:eastAsia="仿宋" w:hAnsi="仿宋" w:cs="仿宋"/>
        </w:rPr>
        <w:t>万元（其中：一般公共预算支出</w:t>
      </w:r>
      <w:r>
        <w:rPr>
          <w:rFonts w:ascii="仿宋" w:eastAsia="仿宋" w:hAnsi="仿宋" w:cs="仿宋"/>
        </w:rPr>
        <w:t>4.29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w:t>
      </w:r>
      <w:r>
        <w:rPr>
          <w:rFonts w:ascii="仿宋" w:eastAsia="仿宋" w:hAnsi="仿宋" w:cs="仿宋"/>
        </w:rPr>
        <w:lastRenderedPageBreak/>
        <w:t>营预算支出</w:t>
      </w:r>
      <w:r>
        <w:rPr>
          <w:rFonts w:ascii="仿宋" w:eastAsia="仿宋" w:hAnsi="仿宋" w:cs="仿宋"/>
        </w:rPr>
        <w:t>0</w:t>
      </w:r>
      <w:r>
        <w:rPr>
          <w:rFonts w:ascii="仿宋" w:eastAsia="仿宋" w:hAnsi="仿宋" w:cs="仿宋"/>
        </w:rPr>
        <w:t>万元），支出决算</w:t>
      </w:r>
      <w:r>
        <w:rPr>
          <w:rFonts w:ascii="仿宋" w:eastAsia="仿宋" w:hAnsi="仿宋" w:cs="仿宋"/>
        </w:rPr>
        <w:t>1.58</w:t>
      </w:r>
      <w:r>
        <w:rPr>
          <w:rFonts w:ascii="仿宋" w:eastAsia="仿宋" w:hAnsi="仿宋" w:cs="仿宋"/>
        </w:rPr>
        <w:t>万元（其中：一般公共预算支出</w:t>
      </w:r>
      <w:r>
        <w:rPr>
          <w:rFonts w:ascii="仿宋" w:eastAsia="仿宋" w:hAnsi="仿宋" w:cs="仿宋"/>
        </w:rPr>
        <w:t>1.58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36.83%</w:t>
      </w:r>
      <w:r>
        <w:rPr>
          <w:rFonts w:ascii="仿宋" w:eastAsia="仿宋" w:hAnsi="仿宋" w:cs="仿宋"/>
        </w:rPr>
        <w:t>，决算数与预算数的差异原因：加强了公务接待费管理。其中：国内公务接待支出</w:t>
      </w:r>
      <w:r>
        <w:rPr>
          <w:rFonts w:ascii="仿宋" w:eastAsia="仿宋" w:hAnsi="仿宋" w:cs="仿宋"/>
        </w:rPr>
        <w:t>1.58</w:t>
      </w:r>
      <w:r>
        <w:rPr>
          <w:rFonts w:ascii="仿宋" w:eastAsia="仿宋" w:hAnsi="仿宋" w:cs="仿宋"/>
        </w:rPr>
        <w:t>万元，接待</w:t>
      </w:r>
      <w:r>
        <w:rPr>
          <w:rFonts w:ascii="仿宋" w:eastAsia="仿宋" w:hAnsi="仿宋" w:cs="仿宋"/>
        </w:rPr>
        <w:t>9</w:t>
      </w:r>
      <w:r>
        <w:rPr>
          <w:rFonts w:ascii="仿宋" w:eastAsia="仿宋" w:hAnsi="仿宋" w:cs="仿宋"/>
        </w:rPr>
        <w:t>批次，</w:t>
      </w:r>
      <w:r>
        <w:rPr>
          <w:rFonts w:ascii="仿宋" w:eastAsia="仿宋" w:hAnsi="仿宋" w:cs="仿宋"/>
        </w:rPr>
        <w:t>101</w:t>
      </w:r>
      <w:r>
        <w:rPr>
          <w:rFonts w:ascii="仿宋" w:eastAsia="仿宋" w:hAnsi="仿宋" w:cs="仿宋"/>
        </w:rPr>
        <w:t>人次，开支内容：公务接待用餐等；国（境）外公务接待支出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（三）财政拨款会议费支出决算情况说明。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会议费支出预算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，决算数与预算数的差异原因：加强了会议费管理。</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（四）财政拨款培训费支出决算情况说明。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1</w:t>
      </w:r>
      <w:r>
        <w:rPr>
          <w:rFonts w:ascii="仿宋" w:eastAsia="仿宋" w:hAnsi="仿宋" w:cs="仿宋"/>
        </w:rPr>
        <w:t>万元（其中：一般</w:t>
      </w:r>
      <w:r>
        <w:rPr>
          <w:rFonts w:ascii="仿宋" w:eastAsia="仿宋" w:hAnsi="仿宋" w:cs="仿宋"/>
        </w:rPr>
        <w:lastRenderedPageBreak/>
        <w:t>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2.02</w:t>
      </w:r>
      <w:r>
        <w:rPr>
          <w:rFonts w:ascii="仿宋" w:eastAsia="仿宋" w:hAnsi="仿宋" w:cs="仿宋"/>
        </w:rPr>
        <w:t>万元</w:t>
      </w:r>
      <w:r>
        <w:rPr>
          <w:rFonts w:ascii="仿宋" w:eastAsia="仿宋" w:hAnsi="仿宋" w:cs="仿宋"/>
        </w:rPr>
        <w:t>（其中：一般公共预算支出</w:t>
      </w:r>
      <w:r>
        <w:rPr>
          <w:rFonts w:ascii="仿宋" w:eastAsia="仿宋" w:hAnsi="仿宋" w:cs="仿宋"/>
        </w:rPr>
        <w:t>2.02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202%</w:t>
      </w:r>
      <w:r>
        <w:rPr>
          <w:rFonts w:ascii="仿宋" w:eastAsia="仿宋" w:hAnsi="仿宋" w:cs="仿宋"/>
        </w:rPr>
        <w:t>，决算数与预算数的差异原因：加强了培训经费的管理。</w:t>
      </w:r>
      <w:r>
        <w:rPr>
          <w:rFonts w:ascii="仿宋" w:eastAsia="仿宋" w:hAnsi="仿宋" w:cs="仿宋"/>
        </w:rPr>
        <w:t>2023</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8</w:t>
      </w:r>
      <w:r>
        <w:rPr>
          <w:rFonts w:ascii="仿宋" w:eastAsia="仿宋" w:hAnsi="仿宋" w:cs="仿宋"/>
        </w:rPr>
        <w:t>人次，开支内容：领导干部进高校培训等。</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122.65</w:t>
      </w:r>
      <w:r>
        <w:rPr>
          <w:rFonts w:ascii="仿宋" w:eastAsia="仿宋" w:hAnsi="仿宋" w:cs="仿宋"/>
        </w:rPr>
        <w:t>万元（其中：一般公共预算支出</w:t>
      </w:r>
      <w:r>
        <w:rPr>
          <w:rFonts w:ascii="仿宋" w:eastAsia="仿宋" w:hAnsi="仿宋" w:cs="仿宋"/>
        </w:rPr>
        <w:t>122.65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6.66</w:t>
      </w:r>
      <w:r>
        <w:rPr>
          <w:rFonts w:ascii="仿宋" w:eastAsia="仿宋" w:hAnsi="仿宋" w:cs="仿宋"/>
        </w:rPr>
        <w:t>万</w:t>
      </w:r>
      <w:r>
        <w:rPr>
          <w:rFonts w:ascii="仿宋" w:eastAsia="仿宋" w:hAnsi="仿宋" w:cs="仿宋"/>
        </w:rPr>
        <w:lastRenderedPageBreak/>
        <w:t>元，减少</w:t>
      </w:r>
      <w:r>
        <w:rPr>
          <w:rFonts w:ascii="仿宋" w:eastAsia="仿宋" w:hAnsi="仿宋" w:cs="仿宋"/>
        </w:rPr>
        <w:t>5.15%</w:t>
      </w:r>
      <w:r>
        <w:rPr>
          <w:rFonts w:ascii="仿宋" w:eastAsia="仿宋" w:hAnsi="仿宋" w:cs="仿宋"/>
        </w:rPr>
        <w:t>，变动原因：压减经费支出。</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十三、政府采购支出决算情况说明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1.76</w:t>
      </w:r>
      <w:r>
        <w:rPr>
          <w:rFonts w:ascii="仿宋" w:eastAsia="仿宋" w:hAnsi="仿宋" w:cs="仿宋"/>
        </w:rPr>
        <w:t>万元，其中：政府采购货物支出</w:t>
      </w:r>
      <w:r>
        <w:rPr>
          <w:rFonts w:ascii="仿宋" w:eastAsia="仿宋" w:hAnsi="仿宋" w:cs="仿宋"/>
        </w:rPr>
        <w:t>1.76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w:t>
      </w:r>
      <w:r>
        <w:rPr>
          <w:rFonts w:ascii="仿宋" w:eastAsia="仿宋" w:hAnsi="仿宋" w:cs="仿宋"/>
        </w:rPr>
        <w:t>元。</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十五、预算绩效评价工作开展情况</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w:t>
      </w:r>
      <w:r>
        <w:rPr>
          <w:rFonts w:ascii="仿宋" w:eastAsia="仿宋" w:hAnsi="仿宋" w:cs="仿宋"/>
        </w:rPr>
        <w:lastRenderedPageBreak/>
        <w:t>出财政重点绩效评价，涉及财政性资金</w:t>
      </w:r>
      <w:r>
        <w:rPr>
          <w:rFonts w:ascii="仿宋" w:eastAsia="仿宋" w:hAnsi="仿宋" w:cs="仿宋"/>
        </w:rPr>
        <w:t>0</w:t>
      </w:r>
      <w:r>
        <w:rPr>
          <w:rFonts w:ascii="仿宋" w:eastAsia="仿宋" w:hAnsi="仿宋" w:cs="仿宋"/>
        </w:rPr>
        <w:t>万元。</w:t>
      </w:r>
    </w:p>
    <w:p w:rsidR="006E012F" w:rsidRDefault="00DA5D7A" w:rsidP="0040740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2,551.77</w:t>
      </w:r>
      <w:r>
        <w:rPr>
          <w:rFonts w:ascii="仿宋" w:eastAsia="仿宋" w:hAnsi="仿宋" w:cs="仿宋"/>
        </w:rPr>
        <w:t>万元。</w:t>
      </w:r>
    </w:p>
    <w:p w:rsidR="006E012F" w:rsidRDefault="00DA5D7A">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rsidP="00407404">
      <w:pPr>
        <w:pStyle w:val="a4"/>
        <w:tabs>
          <w:tab w:val="left" w:pos="3864"/>
          <w:tab w:val="left" w:pos="6248"/>
          <w:tab w:val="left" w:pos="7386"/>
        </w:tabs>
        <w:ind w:leftChars="200" w:left="440" w:firstLineChars="206" w:firstLine="692"/>
        <w:jc w:val="both"/>
        <w:rPr>
          <w:rFonts w:ascii="仿宋" w:eastAsia="仿宋" w:hAnsi="仿宋" w:cs="仿宋"/>
        </w:rPr>
      </w:pP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w:t>
      </w:r>
      <w:r>
        <w:rPr>
          <w:rFonts w:ascii="仿宋" w:eastAsia="仿宋" w:hAnsi="仿宋" w:cs="仿宋" w:hint="eastAsia"/>
        </w:rPr>
        <w:t>、夜大及短训班培训费等教育收费。</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w:t>
      </w:r>
      <w:r>
        <w:rPr>
          <w:rFonts w:ascii="仿宋" w:eastAsia="仿宋" w:hAnsi="仿宋" w:cs="仿宋" w:hint="eastAsia"/>
        </w:rPr>
        <w:lastRenderedPageBreak/>
        <w:t>作任务所发生的支出，包括人员经费和公用经费。</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w:t>
      </w:r>
      <w:r>
        <w:rPr>
          <w:rFonts w:ascii="仿宋" w:eastAsia="仿宋" w:hAnsi="仿宋" w:cs="仿宋" w:hint="eastAsia"/>
          <w:b/>
          <w:bCs/>
        </w:rPr>
        <w:t>、经营支出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w:t>
      </w:r>
      <w:r>
        <w:rPr>
          <w:rFonts w:ascii="仿宋" w:eastAsia="仿宋" w:hAnsi="仿宋" w:cs="仿宋" w:hint="eastAsia"/>
        </w:rPr>
        <w:t>险费、安全奖励费用等支出；公务接待费反映单位按规定开支的各类公务接待（含外</w:t>
      </w:r>
      <w:r>
        <w:rPr>
          <w:rFonts w:ascii="仿宋" w:eastAsia="仿宋" w:hAnsi="仿宋" w:cs="仿宋" w:hint="eastAsia"/>
        </w:rPr>
        <w:lastRenderedPageBreak/>
        <w:t>宾接待）费用。</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其他港澳台事务支出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反映除上述项目以外其他用于港澳台事务方面的支出。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w:t>
      </w:r>
      <w:r>
        <w:rPr>
          <w:rFonts w:ascii="仿宋" w:eastAsia="仿宋" w:hAnsi="仿宋" w:cs="仿宋" w:hint="eastAsia"/>
        </w:rPr>
        <w:lastRenderedPageBreak/>
        <w:t>管理的事业单位）开支的离退休经费。</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二十四、社会保障和</w:t>
      </w:r>
      <w:r>
        <w:rPr>
          <w:rFonts w:ascii="仿宋" w:eastAsia="仿宋" w:hAnsi="仿宋" w:cs="仿宋" w:hint="eastAsia"/>
          <w:b/>
          <w:bCs/>
        </w:rPr>
        <w:t>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DA5D7A" w:rsidP="0040740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DA5D7A" w:rsidP="00806AC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rsidSect="00806AC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D7A" w:rsidRDefault="00DA5D7A">
      <w:r>
        <w:separator/>
      </w:r>
    </w:p>
  </w:endnote>
  <w:endnote w:type="continuationSeparator" w:id="0">
    <w:p w:rsidR="00DA5D7A" w:rsidRDefault="00DA5D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modern"/>
    <w:pitch w:val="fixed"/>
    <w:sig w:usb0="00000000" w:usb1="38CF7CFA" w:usb2="00000016" w:usb3="00000000" w:csb0="00040001" w:csb1="00000000"/>
  </w:font>
  <w:font w:name="华文仿宋">
    <w:altName w:val="Malgun Gothic Semilight"/>
    <w:charset w:val="86"/>
    <w:family w:val="auto"/>
    <w:pitch w:val="variable"/>
    <w:sig w:usb0="00000000" w:usb1="080F0000" w:usb2="00000010" w:usb3="00000000" w:csb0="0004009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楷体">
    <w:altName w:val="Malgun Gothic Semilight"/>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rPr>
        <w:rFonts w:ascii="黑体" w:eastAsia="黑体" w:hAnsi="黑体" w:cs="黑体"/>
      </w:rPr>
    </w:pPr>
    <w:r w:rsidRPr="00806ACF">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 filled="f" stroked="f">
          <v:textbox style="mso-fit-shape-to-text:t" inset="0,0,0,0">
            <w:txbxContent>
              <w:p w:rsidR="006E012F" w:rsidRDefault="00806ACF">
                <w:pPr>
                  <w:pStyle w:val="a5"/>
                  <w:rPr>
                    <w:rFonts w:ascii="黑体" w:eastAsia="黑体" w:hAnsi="黑体" w:cs="黑体"/>
                  </w:rPr>
                </w:pPr>
                <w:r>
                  <w:rPr>
                    <w:rFonts w:ascii="黑体" w:eastAsia="黑体" w:hAnsi="黑体" w:cs="黑体" w:hint="eastAsia"/>
                  </w:rPr>
                  <w:fldChar w:fldCharType="begin"/>
                </w:r>
                <w:r w:rsidR="00DA5D7A">
                  <w:rPr>
                    <w:rFonts w:ascii="黑体" w:eastAsia="黑体" w:hAnsi="黑体" w:cs="黑体" w:hint="eastAsia"/>
                  </w:rPr>
                  <w:instrText xml:space="preserve"> PAGE  \* MERGEFORMAT </w:instrText>
                </w:r>
                <w:r>
                  <w:rPr>
                    <w:rFonts w:ascii="黑体" w:eastAsia="黑体" w:hAnsi="黑体" w:cs="黑体" w:hint="eastAsia"/>
                  </w:rPr>
                  <w:fldChar w:fldCharType="separate"/>
                </w:r>
                <w:r w:rsidR="00407404">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- 23 -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- 24 -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- 26 -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- 46 -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rPr>
        <w:rFonts w:ascii="黑体" w:eastAsia="黑体" w:hAnsi="黑体" w:cs="黑体"/>
      </w:rPr>
    </w:pPr>
    <w:r w:rsidRPr="00806ACF">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 filled="f" stroked="f">
          <v:textbox style="mso-fit-shape-to-text:t" inset="0,0,0,0">
            <w:txbxContent>
              <w:p w:rsidR="006E012F" w:rsidRDefault="00806ACF">
                <w:pPr>
                  <w:pStyle w:val="a5"/>
                  <w:rPr>
                    <w:rFonts w:ascii="黑体" w:eastAsia="黑体" w:hAnsi="黑体" w:cs="黑体"/>
                  </w:rPr>
                </w:pPr>
                <w:r>
                  <w:rPr>
                    <w:rFonts w:ascii="黑体" w:eastAsia="黑体" w:hAnsi="黑体" w:cs="黑体" w:hint="eastAsia"/>
                  </w:rPr>
                  <w:fldChar w:fldCharType="begin"/>
                </w:r>
                <w:r w:rsidR="00DA5D7A">
                  <w:rPr>
                    <w:rFonts w:ascii="黑体" w:eastAsia="黑体" w:hAnsi="黑体" w:cs="黑体" w:hint="eastAsia"/>
                  </w:rPr>
                  <w:instrText xml:space="preserve"> PAGE  \* MERGEFORMAT </w:instrText>
                </w:r>
                <w:r>
                  <w:rPr>
                    <w:rFonts w:ascii="黑体" w:eastAsia="黑体" w:hAnsi="黑体" w:cs="黑体" w:hint="eastAsia"/>
                  </w:rPr>
                  <w:fldChar w:fldCharType="separate"/>
                </w:r>
                <w:r w:rsidR="00407404">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- 18 -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806ACF">
    <w:pPr>
      <w:pStyle w:val="a5"/>
      <w:jc w:val="center"/>
    </w:pPr>
    <w:r w:rsidRPr="00806ACF">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 filled="f" stroked="f">
          <v:textbox style="mso-fit-shape-to-text:t" inset="0,0,0,0">
            <w:txbxContent>
              <w:p w:rsidR="006E012F" w:rsidRDefault="00806ACF">
                <w:pPr>
                  <w:pStyle w:val="a5"/>
                </w:pPr>
                <w:r>
                  <w:rPr>
                    <w:rFonts w:hint="eastAsia"/>
                  </w:rPr>
                  <w:fldChar w:fldCharType="begin"/>
                </w:r>
                <w:r w:rsidR="00DA5D7A">
                  <w:rPr>
                    <w:rFonts w:hint="eastAsia"/>
                  </w:rPr>
                  <w:instrText xml:space="preserve"> PAGE  \* MERGEFORMAT </w:instrText>
                </w:r>
                <w:r>
                  <w:rPr>
                    <w:rFonts w:hint="eastAsia"/>
                  </w:rPr>
                  <w:fldChar w:fldCharType="separate"/>
                </w:r>
                <w:r w:rsidR="00407404">
                  <w:rPr>
                    <w:noProof/>
                  </w:rPr>
                  <w:t>- 19 -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D7A" w:rsidRDefault="00DA5D7A">
      <w:r>
        <w:separator/>
      </w:r>
    </w:p>
  </w:footnote>
  <w:footnote w:type="continuationSeparator" w:id="0">
    <w:p w:rsidR="00DA5D7A" w:rsidRDefault="00DA5D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DA5D7A">
    <w:pPr>
      <w:pStyle w:val="a6"/>
      <w:pBdr>
        <w:bottom w:val="single" w:sz="4" w:space="1" w:color="000000"/>
      </w:pBdr>
      <w:jc w:val="both"/>
      <w:rPr>
        <w:lang w:val="en-US"/>
      </w:rPr>
    </w:pPr>
    <w:r>
      <w:rPr>
        <w:rFonts w:hint="eastAsia"/>
        <w:lang w:val="en-US"/>
      </w:rPr>
      <w:t>中国共产党南京市委员会台湾工作办公室</w:t>
    </w:r>
    <w:r>
      <w:t>2023</w:t>
    </w:r>
    <w:r>
      <w:t>年度单位决算公开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E012F">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404"/>
    <w:rsid w:val="00407CA7"/>
    <w:rsid w:val="00413AD8"/>
    <w:rsid w:val="004743E0"/>
    <w:rsid w:val="004C0647"/>
    <w:rsid w:val="00671ED7"/>
    <w:rsid w:val="00672164"/>
    <w:rsid w:val="006732F1"/>
    <w:rsid w:val="006E012F"/>
    <w:rsid w:val="007C0F2D"/>
    <w:rsid w:val="00806ACF"/>
    <w:rsid w:val="008322BB"/>
    <w:rsid w:val="00867423"/>
    <w:rsid w:val="008B5B05"/>
    <w:rsid w:val="009965EA"/>
    <w:rsid w:val="00A6752E"/>
    <w:rsid w:val="00B92181"/>
    <w:rsid w:val="00BD7F33"/>
    <w:rsid w:val="00C15920"/>
    <w:rsid w:val="00C82582"/>
    <w:rsid w:val="00CF349C"/>
    <w:rsid w:val="00DA5D7A"/>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06ACF"/>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806ACF"/>
    <w:pPr>
      <w:ind w:left="-40"/>
      <w:outlineLvl w:val="0"/>
    </w:pPr>
    <w:rPr>
      <w:sz w:val="52"/>
      <w:szCs w:val="52"/>
    </w:rPr>
  </w:style>
  <w:style w:type="paragraph" w:styleId="2">
    <w:name w:val="heading 2"/>
    <w:basedOn w:val="a"/>
    <w:next w:val="a"/>
    <w:uiPriority w:val="1"/>
    <w:qFormat/>
    <w:rsid w:val="00806ACF"/>
    <w:pPr>
      <w:ind w:right="18"/>
      <w:jc w:val="center"/>
      <w:outlineLvl w:val="1"/>
    </w:pPr>
    <w:rPr>
      <w:sz w:val="44"/>
      <w:szCs w:val="44"/>
    </w:rPr>
  </w:style>
  <w:style w:type="paragraph" w:styleId="3">
    <w:name w:val="heading 3"/>
    <w:basedOn w:val="a"/>
    <w:next w:val="a"/>
    <w:uiPriority w:val="1"/>
    <w:qFormat/>
    <w:rsid w:val="00806ACF"/>
    <w:pPr>
      <w:ind w:left="1"/>
      <w:jc w:val="center"/>
      <w:outlineLvl w:val="2"/>
    </w:pPr>
    <w:rPr>
      <w:sz w:val="40"/>
      <w:szCs w:val="40"/>
    </w:rPr>
  </w:style>
  <w:style w:type="paragraph" w:styleId="4">
    <w:name w:val="heading 4"/>
    <w:basedOn w:val="a"/>
    <w:next w:val="a"/>
    <w:uiPriority w:val="1"/>
    <w:qFormat/>
    <w:rsid w:val="00806ACF"/>
    <w:pPr>
      <w:jc w:val="center"/>
      <w:outlineLvl w:val="3"/>
    </w:pPr>
    <w:rPr>
      <w:sz w:val="36"/>
      <w:szCs w:val="36"/>
    </w:rPr>
  </w:style>
  <w:style w:type="paragraph" w:styleId="5">
    <w:name w:val="heading 5"/>
    <w:basedOn w:val="a"/>
    <w:next w:val="a"/>
    <w:uiPriority w:val="1"/>
    <w:qFormat/>
    <w:rsid w:val="00806ACF"/>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06ACF"/>
    <w:pPr>
      <w:suppressLineNumbers/>
      <w:spacing w:before="120" w:after="120"/>
    </w:pPr>
    <w:rPr>
      <w:i/>
      <w:iCs/>
      <w:sz w:val="24"/>
      <w:szCs w:val="24"/>
    </w:rPr>
  </w:style>
  <w:style w:type="paragraph" w:styleId="a4">
    <w:name w:val="Body Text"/>
    <w:basedOn w:val="a"/>
    <w:uiPriority w:val="1"/>
    <w:qFormat/>
    <w:rsid w:val="00806ACF"/>
    <w:rPr>
      <w:sz w:val="32"/>
      <w:szCs w:val="32"/>
    </w:rPr>
  </w:style>
  <w:style w:type="paragraph" w:styleId="a5">
    <w:name w:val="footer"/>
    <w:basedOn w:val="a"/>
    <w:qFormat/>
    <w:rsid w:val="00806ACF"/>
    <w:pPr>
      <w:tabs>
        <w:tab w:val="center" w:pos="4153"/>
        <w:tab w:val="right" w:pos="8306"/>
      </w:tabs>
      <w:snapToGrid w:val="0"/>
    </w:pPr>
    <w:rPr>
      <w:sz w:val="18"/>
      <w:szCs w:val="18"/>
    </w:rPr>
  </w:style>
  <w:style w:type="paragraph" w:styleId="a6">
    <w:name w:val="header"/>
    <w:basedOn w:val="a"/>
    <w:qFormat/>
    <w:rsid w:val="00806ACF"/>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806ACF"/>
  </w:style>
  <w:style w:type="table" w:styleId="a8">
    <w:name w:val="Table Grid"/>
    <w:basedOn w:val="a1"/>
    <w:qFormat/>
    <w:rsid w:val="00806A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806ACF"/>
  </w:style>
  <w:style w:type="character" w:customStyle="1" w:styleId="aa">
    <w:name w:val="页眉 字符"/>
    <w:basedOn w:val="a0"/>
    <w:qFormat/>
    <w:rsid w:val="00806ACF"/>
    <w:rPr>
      <w:rFonts w:ascii="Arial Unicode MS" w:eastAsia="Arial Unicode MS" w:hAnsi="Arial Unicode MS" w:cs="Arial Unicode MS"/>
      <w:sz w:val="18"/>
      <w:szCs w:val="18"/>
      <w:lang w:val="zh-CN" w:bidi="zh-CN"/>
    </w:rPr>
  </w:style>
  <w:style w:type="character" w:customStyle="1" w:styleId="ab">
    <w:name w:val="页脚 字符"/>
    <w:basedOn w:val="a0"/>
    <w:qFormat/>
    <w:rsid w:val="00806ACF"/>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806ACF"/>
    <w:pPr>
      <w:keepNext/>
      <w:spacing w:before="240" w:after="120"/>
    </w:pPr>
    <w:rPr>
      <w:rFonts w:ascii="Liberation Sans" w:hAnsi="Liberation Sans"/>
      <w:sz w:val="28"/>
      <w:szCs w:val="28"/>
    </w:rPr>
  </w:style>
  <w:style w:type="paragraph" w:customStyle="1" w:styleId="ad">
    <w:name w:val="索引"/>
    <w:basedOn w:val="a"/>
    <w:qFormat/>
    <w:rsid w:val="00806ACF"/>
    <w:pPr>
      <w:suppressLineNumbers/>
    </w:pPr>
  </w:style>
  <w:style w:type="paragraph" w:customStyle="1" w:styleId="ae">
    <w:name w:val="页眉与页脚"/>
    <w:basedOn w:val="a"/>
    <w:qFormat/>
    <w:rsid w:val="00806ACF"/>
  </w:style>
  <w:style w:type="paragraph" w:customStyle="1" w:styleId="10">
    <w:name w:val="列表段落1"/>
    <w:basedOn w:val="a"/>
    <w:uiPriority w:val="1"/>
    <w:qFormat/>
    <w:rsid w:val="00806ACF"/>
    <w:pPr>
      <w:ind w:left="2039" w:hanging="782"/>
    </w:pPr>
  </w:style>
  <w:style w:type="paragraph" w:customStyle="1" w:styleId="TableParagraph">
    <w:name w:val="Table Paragraph"/>
    <w:basedOn w:val="a"/>
    <w:uiPriority w:val="1"/>
    <w:qFormat/>
    <w:rsid w:val="00806ACF"/>
    <w:rPr>
      <w:rFonts w:ascii="宋体" w:eastAsia="宋体" w:hAnsi="宋体" w:cs="宋体"/>
    </w:rPr>
  </w:style>
  <w:style w:type="paragraph" w:customStyle="1" w:styleId="af">
    <w:name w:val="表格内容"/>
    <w:basedOn w:val="a"/>
    <w:qFormat/>
    <w:rsid w:val="00806ACF"/>
    <w:pPr>
      <w:suppressLineNumbers/>
    </w:pPr>
  </w:style>
  <w:style w:type="paragraph" w:customStyle="1" w:styleId="af0">
    <w:name w:val="表格标题"/>
    <w:basedOn w:val="af"/>
    <w:qFormat/>
    <w:rsid w:val="00806ACF"/>
    <w:pPr>
      <w:jc w:val="center"/>
    </w:pPr>
    <w:rPr>
      <w:b/>
      <w:bCs/>
    </w:rPr>
  </w:style>
  <w:style w:type="paragraph" w:customStyle="1" w:styleId="af1">
    <w:name w:val="预格式化的文本"/>
    <w:basedOn w:val="a"/>
    <w:qFormat/>
    <w:rsid w:val="00806ACF"/>
    <w:rPr>
      <w:rFonts w:ascii="Liberation Mono" w:eastAsia="新宋体" w:hAnsi="Liberation Mono" w:cs="Liberation Mono"/>
      <w:sz w:val="20"/>
      <w:szCs w:val="20"/>
    </w:rPr>
  </w:style>
  <w:style w:type="table" w:customStyle="1" w:styleId="TableNormal">
    <w:name w:val="Table Normal"/>
    <w:uiPriority w:val="2"/>
    <w:unhideWhenUsed/>
    <w:qFormat/>
    <w:rsid w:val="00806ACF"/>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2695</Words>
  <Characters>15365</Characters>
  <Application>Microsoft Office Word</Application>
  <DocSecurity>0</DocSecurity>
  <Lines>128</Lines>
  <Paragraphs>36</Paragraphs>
  <ScaleCrop>false</ScaleCrop>
  <Company/>
  <LinksUpToDate>false</LinksUpToDate>
  <CharactersWithSpaces>18024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xbany</cp:lastModifiedBy>
  <cp:revision>2</cp:revision>
  <dcterms:created xsi:type="dcterms:W3CDTF">2024-09-12T10:12:00Z</dcterms:created>
  <dcterms:modified xsi:type="dcterms:W3CDTF">2024-09-12T10:12:00Z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