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704C10">
        <w:trPr>
          <w:trHeight w:val="4054"/>
        </w:trPr>
        <w:tc>
          <w:tcPr>
            <w:tcW w:w="10402" w:type="dxa"/>
            <w:tcBorders>
              <w:top w:val="nil"/>
              <w:left w:val="nil"/>
              <w:bottom w:val="nil"/>
              <w:right w:val="nil"/>
            </w:tcBorders>
          </w:tcPr>
          <w:p w:rsidR="00704C10" w:rsidRDefault="00704C10">
            <w:pPr>
              <w:pStyle w:val="a4"/>
              <w:spacing w:line="550" w:lineRule="exact"/>
              <w:rPr>
                <w:rFonts w:ascii="仿宋" w:eastAsia="仿宋" w:hAnsi="仿宋" w:cs="仿宋"/>
                <w:b/>
                <w:bCs/>
                <w:color w:val="FF0000"/>
                <w:sz w:val="22"/>
                <w:szCs w:val="22"/>
              </w:rPr>
            </w:pPr>
          </w:p>
        </w:tc>
      </w:tr>
      <w:tr w:rsidR="00704C10">
        <w:trPr>
          <w:trHeight w:val="4945"/>
        </w:trPr>
        <w:tc>
          <w:tcPr>
            <w:tcW w:w="10402" w:type="dxa"/>
            <w:tcBorders>
              <w:top w:val="nil"/>
              <w:left w:val="nil"/>
              <w:bottom w:val="nil"/>
              <w:right w:val="nil"/>
            </w:tcBorders>
            <w:vAlign w:val="center"/>
          </w:tcPr>
          <w:p w:rsidR="00704C10" w:rsidRDefault="005F3F4A">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部门预算公开</w:t>
            </w:r>
          </w:p>
        </w:tc>
      </w:tr>
    </w:tbl>
    <w:p w:rsidR="00704C10" w:rsidRDefault="00704C10">
      <w:pPr>
        <w:ind w:rightChars="129" w:right="284"/>
        <w:jc w:val="both"/>
        <w:rPr>
          <w:rFonts w:ascii="宋体" w:eastAsia="宋体" w:hAnsi="宋体" w:cs="宋体"/>
          <w:b/>
          <w:bCs/>
          <w:sz w:val="52"/>
          <w:szCs w:val="52"/>
        </w:rPr>
        <w:sectPr w:rsidR="00704C10">
          <w:headerReference w:type="default" r:id="rId7"/>
          <w:headerReference w:type="first" r:id="rId8"/>
          <w:pgSz w:w="11906" w:h="16838"/>
          <w:pgMar w:top="1580" w:right="1020" w:bottom="770" w:left="1020" w:header="170" w:footer="280" w:gutter="0"/>
          <w:cols w:space="720"/>
          <w:formProt w:val="0"/>
          <w:titlePg/>
          <w:docGrid w:linePitch="100"/>
        </w:sectPr>
      </w:pPr>
    </w:p>
    <w:p w:rsidR="00704C10" w:rsidRDefault="00704C10">
      <w:pPr>
        <w:pStyle w:val="a4"/>
        <w:spacing w:before="4"/>
        <w:rPr>
          <w:rFonts w:ascii="华文仿宋" w:eastAsia="华文仿宋" w:hAnsi="华文仿宋" w:cs="仿宋"/>
          <w:sz w:val="10"/>
        </w:rPr>
      </w:pPr>
    </w:p>
    <w:p w:rsidR="00704C10" w:rsidRDefault="005F3F4A">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704C10" w:rsidRDefault="00704C10">
      <w:pPr>
        <w:pStyle w:val="a4"/>
        <w:snapToGrid w:val="0"/>
        <w:spacing w:before="7"/>
        <w:rPr>
          <w:rFonts w:ascii="仿宋" w:eastAsia="仿宋" w:hAnsi="仿宋" w:cs="仿宋"/>
          <w:sz w:val="27"/>
        </w:rPr>
      </w:pP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部门</w:t>
      </w:r>
      <w:r>
        <w:rPr>
          <w:rFonts w:ascii="仿宋" w:eastAsia="仿宋" w:hAnsi="仿宋" w:cs="仿宋" w:hint="eastAsia"/>
          <w:b/>
          <w:bCs/>
        </w:rPr>
        <w:t>概况</w:t>
      </w:r>
    </w:p>
    <w:p w:rsidR="00704C10" w:rsidRDefault="005F3F4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704C10" w:rsidRDefault="005F3F4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机构设置及预算单位构成情况</w:t>
      </w:r>
    </w:p>
    <w:p w:rsidR="00704C10" w:rsidRDefault="005F3F4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部门</w:t>
      </w:r>
      <w:r>
        <w:rPr>
          <w:rFonts w:ascii="仿宋" w:eastAsia="仿宋" w:hAnsi="仿宋" w:cs="仿宋" w:hint="eastAsia"/>
        </w:rPr>
        <w:t>主要工作任务及目标</w:t>
      </w:r>
    </w:p>
    <w:p w:rsidR="00704C10" w:rsidRDefault="005F3F4A">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部门预算表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704C10" w:rsidRDefault="005F3F4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704C10" w:rsidRDefault="005F3F4A">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部门</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704C10" w:rsidRDefault="005F3F4A">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704C10" w:rsidRDefault="00704C10">
      <w:pPr>
        <w:pStyle w:val="a4"/>
        <w:snapToGrid w:val="0"/>
        <w:spacing w:line="312" w:lineRule="auto"/>
        <w:ind w:leftChars="300" w:left="669" w:right="2414" w:hanging="9"/>
        <w:jc w:val="both"/>
        <w:rPr>
          <w:rFonts w:ascii="仿宋" w:eastAsia="仿宋" w:hAnsi="仿宋" w:cs="仿宋"/>
        </w:rPr>
        <w:sectPr w:rsidR="00704C10">
          <w:footerReference w:type="default" r:id="rId9"/>
          <w:pgSz w:w="11906" w:h="16838"/>
          <w:pgMar w:top="1580" w:right="1020" w:bottom="770" w:left="1020" w:header="170" w:footer="280" w:gutter="0"/>
          <w:pgNumType w:fmt="numberInDash" w:start="1"/>
          <w:cols w:space="720"/>
          <w:formProt w:val="0"/>
          <w:docGrid w:linePitch="100"/>
        </w:sectPr>
      </w:pPr>
    </w:p>
    <w:p w:rsidR="00704C10" w:rsidRDefault="00704C10">
      <w:pPr>
        <w:pStyle w:val="a4"/>
        <w:spacing w:before="1"/>
        <w:rPr>
          <w:rFonts w:ascii="华文仿宋" w:eastAsia="华文仿宋" w:hAnsi="华文仿宋" w:cs="仿宋"/>
          <w:sz w:val="14"/>
        </w:rPr>
      </w:pPr>
    </w:p>
    <w:p w:rsidR="00704C10" w:rsidRDefault="005F3F4A">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部门概况</w:t>
      </w:r>
    </w:p>
    <w:p w:rsidR="00704C10" w:rsidRDefault="00704C10">
      <w:pPr>
        <w:ind w:rightChars="229" w:right="504"/>
        <w:jc w:val="both"/>
      </w:pPr>
    </w:p>
    <w:p w:rsidR="00704C10" w:rsidRDefault="005F3F4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执行中央确定的对台工作方针、政策和省市对台工作部署；制定并组织实施全市对台工作计划、规划；组织、指导、管理、协调全市对台工作。</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会同有关部门统筹协调和指导全市对台经贸工作；研究提出全市对台经济工作发展规划；组织重要的台商投资活动；受理台商和台资企业的投诉。</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会同有关部门统筹协调和指导我市与台湾的文化、教育、科技、卫生、体育等各个领域的交流和合作，组织、参与重大交流活动。</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负责我市对台宣传、涉台教育和有关重大涉台事件的新闻发布；管理台湾记者在我市的采访事宜，指导我市与台湾的新闻交流工作。</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研究两岸关系发展和台湾岛内关系的变化，及其对我市经济和社会发展的影响，适时提出工作意见和建议；协调有关部门研究、草拟我市有关涉台政策、法规，统筹协调我</w:t>
      </w:r>
      <w:r>
        <w:rPr>
          <w:rFonts w:ascii="仿宋" w:eastAsia="仿宋" w:hAnsi="仿宋" w:cs="仿宋"/>
        </w:rPr>
        <w:lastRenderedPageBreak/>
        <w:t>市涉台法律事务。</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、负责来宁台胞的接待管理和我市赴台人员的行前教育与归后总结工作；协调处理重大和突发涉台事件。</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、指导、协调在我市定居台胞的管理工作，以及我市与台湾人员交往中的有关民事工作；负责台胞捐赠款物的审核上报工作，监督和检查</w:t>
      </w:r>
      <w:r>
        <w:rPr>
          <w:rFonts w:ascii="仿宋" w:eastAsia="仿宋" w:hAnsi="仿宋" w:cs="仿宋"/>
        </w:rPr>
        <w:t>捐赠款物的使用。</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、联络台湾上层人士，指导、管理并协调各区县、各有关部门与台湾上层人士联络工作。</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、指导市各民主党派、工商联和群众团体有关重点人士、重大活动等方面的涉台工作；管理、指导市台资企业协会、台属联谊会等有关涉台社团的工作。</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、完成中央、省台办交办的有关事务；完成市委、市政府及有关部门交办的其他事项。</w:t>
      </w:r>
    </w:p>
    <w:p w:rsidR="00704C10" w:rsidRDefault="005F3F4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部门</w:t>
      </w:r>
      <w:r>
        <w:rPr>
          <w:rFonts w:ascii="仿宋" w:eastAsia="仿宋" w:hAnsi="仿宋" w:cs="仿宋" w:hint="eastAsia"/>
          <w:b/>
          <w:bCs/>
        </w:rPr>
        <w:t>机构设置及预算单位构成情况</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rPr>
        <w:t>本部门内设机构包括：秘书工作处、经济工作处、联络处、交流处、宣传调研处。本部门下属单位包括：南京市台商投资保护和促进服务中心。</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lastRenderedPageBreak/>
        <w:t>2.</w:t>
      </w:r>
      <w:r>
        <w:rPr>
          <w:rFonts w:ascii="仿宋" w:eastAsia="仿宋" w:hAnsi="仿宋" w:cs="仿宋" w:hint="eastAsia"/>
        </w:rPr>
        <w:t>从</w:t>
      </w:r>
      <w:r>
        <w:rPr>
          <w:rFonts w:ascii="仿宋" w:eastAsia="仿宋" w:hAnsi="仿宋" w:cs="仿宋" w:hint="eastAsia"/>
        </w:rPr>
        <w:t>预算</w:t>
      </w:r>
      <w:r>
        <w:rPr>
          <w:rFonts w:ascii="仿宋" w:eastAsia="仿宋" w:hAnsi="仿宋" w:cs="仿宋" w:hint="eastAsia"/>
        </w:rPr>
        <w:t>单位构成看，纳入本</w:t>
      </w:r>
      <w:r>
        <w:rPr>
          <w:rFonts w:ascii="仿宋" w:eastAsia="仿宋" w:hAnsi="仿宋" w:cs="仿宋" w:hint="eastAsia"/>
          <w:lang w:val="en-US"/>
        </w:rPr>
        <w:t>部门</w:t>
      </w:r>
      <w:r>
        <w:rPr>
          <w:rFonts w:ascii="仿宋" w:eastAsia="仿宋" w:hAnsi="仿宋" w:cs="仿宋" w:hint="eastAsia"/>
        </w:rPr>
        <w:t>2026</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w:t>
      </w:r>
      <w:r>
        <w:rPr>
          <w:rFonts w:ascii="仿宋" w:eastAsia="仿宋" w:hAnsi="仿宋" w:cs="仿宋" w:hint="eastAsia"/>
        </w:rPr>
        <w:t>预算</w:t>
      </w:r>
      <w:r>
        <w:rPr>
          <w:rFonts w:ascii="仿宋" w:eastAsia="仿宋" w:hAnsi="仿宋" w:cs="仿宋" w:hint="eastAsia"/>
        </w:rPr>
        <w:t>编制范围的预算单位共计</w:t>
      </w:r>
      <w:r>
        <w:rPr>
          <w:rFonts w:ascii="仿宋" w:eastAsia="仿宋" w:hAnsi="仿宋" w:cs="仿宋"/>
        </w:rPr>
        <w:t>2</w:t>
      </w:r>
      <w:r>
        <w:rPr>
          <w:rFonts w:ascii="仿宋" w:eastAsia="仿宋" w:hAnsi="仿宋" w:cs="仿宋" w:hint="eastAsia"/>
        </w:rPr>
        <w:t>家，具体包括：</w:t>
      </w:r>
      <w:r>
        <w:rPr>
          <w:rFonts w:ascii="仿宋" w:eastAsia="仿宋" w:hAnsi="仿宋" w:cs="仿宋"/>
        </w:rPr>
        <w:t>中国共产党南京市委员会台湾工作办公室，南京市台商投资保护和促进服务中心。</w:t>
      </w:r>
    </w:p>
    <w:p w:rsidR="00704C10" w:rsidRDefault="005F3F4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部门主要工作任务及目标</w:t>
      </w:r>
    </w:p>
    <w:p w:rsidR="00704C10" w:rsidRDefault="005F3F4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内容涉密。</w:t>
      </w:r>
    </w:p>
    <w:p w:rsidR="00704C10" w:rsidRDefault="00704C10">
      <w:pPr>
        <w:pStyle w:val="a4"/>
        <w:spacing w:line="235" w:lineRule="auto"/>
        <w:ind w:leftChars="300" w:left="669" w:right="2414" w:hanging="9"/>
        <w:jc w:val="both"/>
        <w:rPr>
          <w:rFonts w:ascii="仿宋" w:eastAsia="仿宋" w:hAnsi="仿宋" w:cs="仿宋"/>
        </w:rPr>
        <w:sectPr w:rsidR="00704C10">
          <w:footerReference w:type="default" r:id="rId10"/>
          <w:pgSz w:w="11906" w:h="16838"/>
          <w:pgMar w:top="1580" w:right="1020" w:bottom="770" w:left="1020" w:header="170" w:footer="280" w:gutter="0"/>
          <w:pgNumType w:fmt="numberInDash"/>
          <w:cols w:space="720"/>
          <w:formProt w:val="0"/>
          <w:docGrid w:linePitch="100"/>
        </w:sectPr>
      </w:pPr>
    </w:p>
    <w:p w:rsidR="00704C10" w:rsidRDefault="00704C10">
      <w:pPr>
        <w:pStyle w:val="a4"/>
        <w:spacing w:line="360" w:lineRule="auto"/>
        <w:ind w:leftChars="200" w:left="440" w:rightChars="229" w:right="504" w:firstLine="658"/>
        <w:jc w:val="both"/>
        <w:rPr>
          <w:rFonts w:ascii="仿宋" w:eastAsia="仿宋" w:hAnsi="仿宋" w:cs="仿宋"/>
          <w:lang w:val="en-US"/>
        </w:rPr>
      </w:pPr>
    </w:p>
    <w:p w:rsidR="00704C10" w:rsidRDefault="00704C10">
      <w:pPr>
        <w:pStyle w:val="10"/>
        <w:tabs>
          <w:tab w:val="left" w:pos="1609"/>
        </w:tabs>
        <w:spacing w:before="12" w:line="300" w:lineRule="auto"/>
        <w:ind w:left="340" w:right="567" w:firstLine="0"/>
        <w:jc w:val="center"/>
        <w:rPr>
          <w:rFonts w:ascii="仿宋" w:eastAsia="仿宋" w:hAnsi="仿宋" w:cs="仿宋"/>
          <w:b/>
          <w:bCs/>
          <w:sz w:val="44"/>
          <w:szCs w:val="44"/>
        </w:rPr>
      </w:pPr>
    </w:p>
    <w:p w:rsidR="00704C10" w:rsidRDefault="00704C10">
      <w:pPr>
        <w:pStyle w:val="10"/>
        <w:tabs>
          <w:tab w:val="left" w:pos="1609"/>
        </w:tabs>
        <w:spacing w:before="12" w:line="300" w:lineRule="auto"/>
        <w:ind w:left="340" w:right="567" w:firstLine="0"/>
        <w:jc w:val="center"/>
        <w:rPr>
          <w:rFonts w:ascii="仿宋" w:eastAsia="仿宋" w:hAnsi="仿宋" w:cs="仿宋"/>
          <w:b/>
          <w:bCs/>
          <w:sz w:val="44"/>
          <w:szCs w:val="44"/>
        </w:rPr>
      </w:pPr>
    </w:p>
    <w:p w:rsidR="00704C10" w:rsidRDefault="00704C10">
      <w:pPr>
        <w:pStyle w:val="10"/>
        <w:tabs>
          <w:tab w:val="left" w:pos="1609"/>
        </w:tabs>
        <w:spacing w:before="12" w:line="300" w:lineRule="auto"/>
        <w:ind w:left="340" w:right="567" w:firstLine="0"/>
        <w:jc w:val="center"/>
        <w:rPr>
          <w:rFonts w:ascii="仿宋" w:eastAsia="仿宋" w:hAnsi="仿宋" w:cs="仿宋"/>
          <w:b/>
          <w:bCs/>
          <w:sz w:val="44"/>
          <w:szCs w:val="44"/>
        </w:rPr>
      </w:pPr>
    </w:p>
    <w:p w:rsidR="00704C10" w:rsidRDefault="00704C10">
      <w:pPr>
        <w:pStyle w:val="10"/>
        <w:tabs>
          <w:tab w:val="left" w:pos="1609"/>
        </w:tabs>
        <w:spacing w:before="12" w:line="300" w:lineRule="auto"/>
        <w:ind w:left="340" w:right="567" w:firstLine="0"/>
        <w:jc w:val="center"/>
        <w:rPr>
          <w:rFonts w:ascii="仿宋" w:eastAsia="仿宋" w:hAnsi="仿宋" w:cs="仿宋"/>
          <w:b/>
          <w:bCs/>
          <w:sz w:val="44"/>
          <w:szCs w:val="44"/>
        </w:rPr>
      </w:pPr>
    </w:p>
    <w:p w:rsidR="00704C10" w:rsidRDefault="00704C10">
      <w:pPr>
        <w:pStyle w:val="10"/>
        <w:tabs>
          <w:tab w:val="left" w:pos="1609"/>
        </w:tabs>
        <w:spacing w:before="12" w:line="300" w:lineRule="auto"/>
        <w:ind w:left="340" w:right="567" w:firstLine="0"/>
        <w:jc w:val="center"/>
        <w:rPr>
          <w:rFonts w:ascii="仿宋" w:eastAsia="仿宋" w:hAnsi="仿宋" w:cs="仿宋"/>
          <w:b/>
          <w:bCs/>
          <w:sz w:val="44"/>
          <w:szCs w:val="44"/>
        </w:rPr>
      </w:pPr>
    </w:p>
    <w:p w:rsidR="00704C10" w:rsidRDefault="00704C10">
      <w:pPr>
        <w:pStyle w:val="10"/>
        <w:tabs>
          <w:tab w:val="left" w:pos="1609"/>
        </w:tabs>
        <w:spacing w:before="12" w:line="300" w:lineRule="auto"/>
        <w:ind w:left="340" w:right="567" w:firstLine="0"/>
        <w:jc w:val="center"/>
        <w:rPr>
          <w:rFonts w:ascii="仿宋" w:eastAsia="仿宋" w:hAnsi="仿宋" w:cs="仿宋"/>
          <w:b/>
          <w:bCs/>
          <w:sz w:val="44"/>
          <w:szCs w:val="44"/>
        </w:rPr>
      </w:pPr>
    </w:p>
    <w:p w:rsidR="00704C10" w:rsidRDefault="005F3F4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704C10" w:rsidRDefault="005F3F4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704C10" w:rsidRDefault="005F3F4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中国共产党南京市委员会台湾工作办公室</w:t>
      </w:r>
    </w:p>
    <w:p w:rsidR="00704C10" w:rsidRDefault="005F3F4A">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部门</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704C10">
        <w:trPr>
          <w:trHeight w:val="116"/>
          <w:jc w:val="center"/>
        </w:trPr>
        <w:tc>
          <w:tcPr>
            <w:tcW w:w="11329" w:type="dxa"/>
            <w:gridSpan w:val="5"/>
            <w:vAlign w:val="center"/>
          </w:tcPr>
          <w:p w:rsidR="00704C10" w:rsidRDefault="005F3F4A">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704C10">
        <w:trPr>
          <w:trHeight w:val="348"/>
          <w:jc w:val="center"/>
        </w:trPr>
        <w:tc>
          <w:tcPr>
            <w:tcW w:w="11329" w:type="dxa"/>
            <w:gridSpan w:val="5"/>
          </w:tcPr>
          <w:p w:rsidR="00704C10" w:rsidRDefault="005F3F4A">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704C10">
        <w:trPr>
          <w:trHeight w:val="333"/>
          <w:jc w:val="center"/>
        </w:trPr>
        <w:tc>
          <w:tcPr>
            <w:tcW w:w="9481" w:type="dxa"/>
            <w:gridSpan w:val="3"/>
            <w:tcBorders>
              <w:bottom w:val="single" w:sz="4" w:space="0" w:color="000000"/>
            </w:tcBorders>
            <w:vAlign w:val="center"/>
          </w:tcPr>
          <w:p w:rsidR="00704C10" w:rsidRDefault="005F3F4A">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color w:val="000000"/>
                <w:lang w:eastAsia="ar-SA"/>
              </w:rPr>
              <w:t>中国共产党南京市委员会台湾工作办公室</w:t>
            </w:r>
          </w:p>
        </w:tc>
        <w:tc>
          <w:tcPr>
            <w:tcW w:w="1848" w:type="dxa"/>
            <w:gridSpan w:val="2"/>
            <w:tcBorders>
              <w:bottom w:val="single" w:sz="4" w:space="0" w:color="000000"/>
            </w:tcBorders>
            <w:vAlign w:val="center"/>
          </w:tcPr>
          <w:p w:rsidR="00704C10" w:rsidRDefault="005F3F4A">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704C10">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704C10">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2,469.79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1,421.86</w:t>
            </w: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337.27</w:t>
            </w: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714.82</w:t>
            </w: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704C1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keepNext/>
              <w:keepLines/>
              <w:jc w:val="right"/>
              <w:rPr>
                <w:rFonts w:ascii="仿宋" w:eastAsia="仿宋" w:hAnsi="仿宋" w:cs="仿宋"/>
                <w:color w:val="000000"/>
                <w:lang w:eastAsia="ar-SA"/>
              </w:rPr>
            </w:pPr>
          </w:p>
        </w:tc>
      </w:tr>
      <w:tr w:rsidR="00704C10">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right"/>
              <w:rPr>
                <w:rFonts w:ascii="仿宋" w:eastAsia="仿宋" w:hAnsi="仿宋" w:cs="仿宋"/>
                <w:b/>
                <w:bCs/>
                <w:color w:val="000000"/>
                <w:lang w:val="en-US"/>
              </w:rPr>
            </w:pPr>
            <w:r>
              <w:rPr>
                <w:rFonts w:ascii="仿宋" w:eastAsia="仿宋" w:hAnsi="仿宋" w:cs="仿宋" w:hint="eastAsia"/>
                <w:b/>
                <w:bCs/>
                <w:color w:val="000000"/>
                <w:lang w:val="en-US"/>
              </w:rPr>
              <w:t>2,469.79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right"/>
              <w:rPr>
                <w:rFonts w:ascii="仿宋" w:eastAsia="仿宋" w:hAnsi="仿宋" w:cs="仿宋"/>
                <w:b/>
                <w:bCs/>
                <w:color w:val="000000"/>
                <w:lang w:val="en-US"/>
              </w:rPr>
            </w:pPr>
            <w:r>
              <w:rPr>
                <w:rFonts w:ascii="仿宋" w:eastAsia="仿宋" w:hAnsi="仿宋" w:cs="仿宋" w:hint="eastAsia"/>
                <w:b/>
                <w:bCs/>
                <w:color w:val="000000"/>
                <w:lang w:val="en-US"/>
              </w:rPr>
              <w:t>2,473.95</w:t>
            </w:r>
          </w:p>
        </w:tc>
      </w:tr>
      <w:tr w:rsidR="00704C10">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right"/>
              <w:rPr>
                <w:rFonts w:ascii="仿宋" w:eastAsia="仿宋" w:hAnsi="仿宋" w:cs="仿宋"/>
                <w:b/>
                <w:bCs/>
                <w:color w:val="000000"/>
                <w:lang w:eastAsia="ar-SA"/>
              </w:rPr>
            </w:pPr>
            <w:r>
              <w:rPr>
                <w:rFonts w:ascii="仿宋" w:eastAsia="仿宋" w:hAnsi="仿宋" w:cs="仿宋" w:hint="eastAsia"/>
                <w:b/>
                <w:bCs/>
                <w:color w:val="000000"/>
                <w:lang w:eastAsia="ar-SA"/>
              </w:rPr>
              <w:t>4.16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704C10">
            <w:pPr>
              <w:jc w:val="right"/>
              <w:rPr>
                <w:rFonts w:ascii="仿宋" w:eastAsia="仿宋" w:hAnsi="仿宋" w:cs="仿宋"/>
                <w:b/>
                <w:bCs/>
                <w:color w:val="000000"/>
                <w:lang w:val="en-US"/>
              </w:rPr>
            </w:pPr>
          </w:p>
        </w:tc>
      </w:tr>
      <w:tr w:rsidR="00704C10">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2,473.95</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704C10" w:rsidRDefault="005F3F4A">
            <w:pPr>
              <w:jc w:val="right"/>
              <w:rPr>
                <w:rFonts w:ascii="仿宋" w:eastAsia="仿宋" w:hAnsi="仿宋" w:cs="仿宋"/>
                <w:b/>
                <w:bCs/>
                <w:color w:val="000000"/>
                <w:lang w:val="en-US"/>
              </w:rPr>
            </w:pPr>
            <w:r>
              <w:rPr>
                <w:rFonts w:ascii="仿宋" w:eastAsia="仿宋" w:hAnsi="仿宋" w:cs="仿宋" w:hint="eastAsia"/>
                <w:b/>
                <w:bCs/>
                <w:color w:val="000000"/>
                <w:lang w:val="en-US"/>
              </w:rPr>
              <w:t>2,473.95</w:t>
            </w:r>
          </w:p>
        </w:tc>
      </w:tr>
    </w:tbl>
    <w:p w:rsidR="00704C10" w:rsidRDefault="00704C10">
      <w:pPr>
        <w:spacing w:before="66"/>
        <w:rPr>
          <w:rFonts w:ascii="仿宋" w:eastAsia="仿宋" w:hAnsi="仿宋" w:cs="仿宋"/>
          <w:b/>
          <w:bCs/>
          <w:color w:val="000000"/>
        </w:rPr>
        <w:sectPr w:rsidR="00704C10">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704C10">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704C10" w:rsidRDefault="005F3F4A">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704C10">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704C10" w:rsidRDefault="005F3F4A">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704C10">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704C10" w:rsidRDefault="005F3F4A">
            <w:pPr>
              <w:pStyle w:val="TableParagraph"/>
              <w:jc w:val="bot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704C10" w:rsidRDefault="005F3F4A">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704C10">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704C10">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704C10" w:rsidRDefault="005F3F4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704C10">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2,473.95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2,469.79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2,469.79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4.16</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4.16</w:t>
            </w:r>
          </w:p>
        </w:tc>
      </w:tr>
      <w:tr w:rsidR="00704C1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2,473.95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2,469.79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2,469.79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4.16</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4.16</w:t>
            </w:r>
          </w:p>
        </w:tc>
      </w:tr>
      <w:tr w:rsidR="00704C1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2,127.59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2,127.59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2,127.59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r>
      <w:tr w:rsidR="00704C1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南京市台商投资保护和促进服务中心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346.36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342.20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342.20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4.16</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4.16</w:t>
            </w:r>
          </w:p>
        </w:tc>
      </w:tr>
    </w:tbl>
    <w:p w:rsidR="00704C10" w:rsidRDefault="00704C10">
      <w:pPr>
        <w:spacing w:before="66"/>
        <w:rPr>
          <w:rFonts w:ascii="仿宋" w:eastAsia="仿宋" w:hAnsi="仿宋" w:cs="仿宋"/>
          <w:b/>
          <w:bCs/>
        </w:rPr>
        <w:sectPr w:rsidR="00704C10">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704C10">
        <w:trPr>
          <w:trHeight w:val="341"/>
        </w:trPr>
        <w:tc>
          <w:tcPr>
            <w:tcW w:w="15347" w:type="dxa"/>
            <w:gridSpan w:val="8"/>
            <w:vAlign w:val="center"/>
          </w:tcPr>
          <w:p w:rsidR="00704C10" w:rsidRDefault="005F3F4A">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704C10">
        <w:trPr>
          <w:trHeight w:val="321"/>
        </w:trPr>
        <w:tc>
          <w:tcPr>
            <w:tcW w:w="15347" w:type="dxa"/>
            <w:gridSpan w:val="8"/>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704C10">
        <w:trPr>
          <w:trHeight w:val="218"/>
        </w:trPr>
        <w:tc>
          <w:tcPr>
            <w:tcW w:w="12030" w:type="dxa"/>
            <w:gridSpan w:val="6"/>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317" w:type="dxa"/>
            <w:gridSpan w:val="2"/>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704C10">
        <w:trPr>
          <w:trHeight w:val="533"/>
        </w:trPr>
        <w:tc>
          <w:tcPr>
            <w:tcW w:w="1556" w:type="dxa"/>
            <w:tcBorders>
              <w:top w:val="single" w:sz="4" w:space="0" w:color="000000"/>
              <w:left w:val="single" w:sz="4" w:space="0" w:color="000000"/>
              <w:bottom w:val="single" w:sz="4"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704C10" w:rsidRDefault="005F3F4A">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704C10">
        <w:trPr>
          <w:trHeight w:hRule="exact" w:val="375"/>
        </w:trPr>
        <w:tc>
          <w:tcPr>
            <w:tcW w:w="4779" w:type="dxa"/>
            <w:gridSpan w:val="2"/>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2,473.95</w:t>
            </w:r>
          </w:p>
        </w:tc>
        <w:tc>
          <w:tcPr>
            <w:tcW w:w="1714" w:type="dxa"/>
            <w:tcBorders>
              <w:left w:val="single" w:sz="4" w:space="0" w:color="000000"/>
              <w:bottom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2,472.71</w:t>
            </w:r>
          </w:p>
        </w:tc>
        <w:tc>
          <w:tcPr>
            <w:tcW w:w="1749" w:type="dxa"/>
            <w:tcBorders>
              <w:left w:val="single" w:sz="4" w:space="0" w:color="000000"/>
              <w:bottom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1.24</w:t>
            </w:r>
          </w:p>
        </w:tc>
        <w:tc>
          <w:tcPr>
            <w:tcW w:w="1868" w:type="dxa"/>
            <w:tcBorders>
              <w:left w:val="single" w:sz="4" w:space="0" w:color="000000"/>
              <w:bottom w:val="single" w:sz="4" w:space="0" w:color="000000"/>
            </w:tcBorders>
            <w:vAlign w:val="center"/>
          </w:tcPr>
          <w:p w:rsidR="00704C10" w:rsidRDefault="00704C10">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704C10" w:rsidRDefault="00704C10">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1,421.86</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1,420.62</w:t>
            </w:r>
          </w:p>
        </w:tc>
        <w:tc>
          <w:tcPr>
            <w:tcW w:w="1749"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1.24</w:t>
            </w: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1,421.86</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1,420.62</w:t>
            </w:r>
          </w:p>
        </w:tc>
        <w:tc>
          <w:tcPr>
            <w:tcW w:w="1749"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1.24</w:t>
            </w: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1,420.62</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1,420.62</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2012502</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1.24</w:t>
            </w:r>
          </w:p>
        </w:tc>
        <w:tc>
          <w:tcPr>
            <w:tcW w:w="1714"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1.24</w:t>
            </w: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337.27</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337.27</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337.27</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337.27</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128.54</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128.54</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139.15</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139.15</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69.58</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69.58</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174.57</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174.57</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r w:rsidR="00704C1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540.25</w:t>
            </w:r>
          </w:p>
        </w:tc>
        <w:tc>
          <w:tcPr>
            <w:tcW w:w="1714" w:type="dxa"/>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540.25</w:t>
            </w:r>
          </w:p>
        </w:tc>
        <w:tc>
          <w:tcPr>
            <w:tcW w:w="1749"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704C10" w:rsidRDefault="00704C10">
            <w:pPr>
              <w:pStyle w:val="TableParagraph"/>
              <w:jc w:val="right"/>
              <w:rPr>
                <w:rFonts w:ascii="仿宋" w:eastAsia="仿宋" w:hAnsi="仿宋" w:cs="仿宋"/>
              </w:rPr>
            </w:pPr>
          </w:p>
        </w:tc>
      </w:tr>
    </w:tbl>
    <w:p w:rsidR="00704C10" w:rsidRDefault="00704C10">
      <w:pPr>
        <w:spacing w:before="59"/>
        <w:ind w:left="57"/>
        <w:rPr>
          <w:rFonts w:ascii="仿宋" w:eastAsia="仿宋" w:hAnsi="仿宋" w:cs="仿宋"/>
          <w:b/>
          <w:bCs/>
        </w:rPr>
        <w:sectPr w:rsidR="00704C10">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704C10">
        <w:trPr>
          <w:trHeight w:val="319"/>
        </w:trPr>
        <w:tc>
          <w:tcPr>
            <w:tcW w:w="15789" w:type="dxa"/>
            <w:gridSpan w:val="4"/>
          </w:tcPr>
          <w:p w:rsidR="00704C10" w:rsidRDefault="005F3F4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704C10">
        <w:trPr>
          <w:trHeight w:val="319"/>
        </w:trPr>
        <w:tc>
          <w:tcPr>
            <w:tcW w:w="15789" w:type="dxa"/>
            <w:gridSpan w:val="4"/>
          </w:tcPr>
          <w:p w:rsidR="00704C10" w:rsidRDefault="005F3F4A">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704C10">
        <w:trPr>
          <w:trHeight w:val="319"/>
        </w:trPr>
        <w:tc>
          <w:tcPr>
            <w:tcW w:w="11890" w:type="dxa"/>
            <w:gridSpan w:val="3"/>
          </w:tcPr>
          <w:p w:rsidR="00704C10" w:rsidRDefault="005F3F4A">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99" w:type="dxa"/>
            <w:vAlign w:val="center"/>
          </w:tcPr>
          <w:p w:rsidR="00704C10" w:rsidRDefault="005F3F4A">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704C10">
        <w:trPr>
          <w:trHeight w:val="196"/>
        </w:trPr>
        <w:tc>
          <w:tcPr>
            <w:tcW w:w="7947" w:type="dxa"/>
            <w:gridSpan w:val="2"/>
            <w:tcBorders>
              <w:top w:val="single" w:sz="4" w:space="0" w:color="000000"/>
              <w:left w:val="single" w:sz="4" w:space="0" w:color="000000"/>
              <w:bottom w:val="single" w:sz="4" w:space="0" w:color="000000"/>
            </w:tcBorders>
          </w:tcPr>
          <w:p w:rsidR="00704C10" w:rsidRDefault="005F3F4A">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704C10" w:rsidRDefault="005F3F4A">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704C10">
        <w:trPr>
          <w:trHeight w:val="468"/>
        </w:trPr>
        <w:tc>
          <w:tcPr>
            <w:tcW w:w="3987"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704C10" w:rsidRDefault="005F3F4A">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2,469.79</w:t>
            </w: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lang w:val="en-US"/>
              </w:rPr>
            </w:pPr>
            <w:r>
              <w:rPr>
                <w:rFonts w:ascii="仿宋" w:eastAsia="仿宋" w:hAnsi="仿宋" w:cs="仿宋" w:hint="eastAsia"/>
              </w:rPr>
              <w:t>2,469.79</w:t>
            </w: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2,469.79</w:t>
            </w: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lang w:val="en-US"/>
              </w:rPr>
            </w:pPr>
            <w:r>
              <w:rPr>
                <w:rFonts w:ascii="仿宋" w:eastAsia="仿宋" w:hAnsi="仿宋" w:cs="仿宋" w:hint="eastAsia"/>
              </w:rPr>
              <w:t>1,417.70</w:t>
            </w: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lang w:val="en-US"/>
              </w:rPr>
            </w:pPr>
            <w:r>
              <w:rPr>
                <w:rFonts w:ascii="仿宋" w:eastAsia="仿宋" w:hAnsi="仿宋" w:cs="仿宋" w:hint="eastAsia"/>
              </w:rPr>
              <w:t>337.27</w:t>
            </w: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lang w:val="en-US"/>
              </w:rPr>
            </w:pPr>
            <w:r>
              <w:rPr>
                <w:rFonts w:ascii="仿宋" w:eastAsia="仿宋" w:hAnsi="仿宋" w:cs="仿宋" w:hint="eastAsia"/>
              </w:rPr>
              <w:t>714.82</w:t>
            </w: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lang w:val="en-US"/>
              </w:rPr>
            </w:pPr>
          </w:p>
        </w:tc>
      </w:tr>
      <w:tr w:rsidR="00704C10">
        <w:trPr>
          <w:cantSplit/>
          <w:trHeight w:hRule="exact" w:val="296"/>
        </w:trPr>
        <w:tc>
          <w:tcPr>
            <w:tcW w:w="3987"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704C10" w:rsidRDefault="005F3F4A">
            <w:pPr>
              <w:jc w:val="right"/>
              <w:rPr>
                <w:rFonts w:ascii="仿宋" w:eastAsia="仿宋" w:hAnsi="仿宋" w:cs="仿宋"/>
              </w:rPr>
            </w:pPr>
            <w:r>
              <w:rPr>
                <w:rFonts w:ascii="仿宋" w:eastAsia="仿宋" w:hAnsi="仿宋" w:cs="仿宋" w:hint="eastAsia"/>
              </w:rPr>
              <w:t>2,469.79</w:t>
            </w:r>
          </w:p>
        </w:tc>
        <w:tc>
          <w:tcPr>
            <w:tcW w:w="3943"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704C10" w:rsidRDefault="005F3F4A">
            <w:pPr>
              <w:jc w:val="right"/>
              <w:rPr>
                <w:rFonts w:ascii="仿宋" w:eastAsia="仿宋" w:hAnsi="仿宋" w:cs="仿宋"/>
              </w:rPr>
            </w:pPr>
            <w:r>
              <w:rPr>
                <w:rFonts w:ascii="仿宋" w:eastAsia="仿宋" w:hAnsi="仿宋" w:cs="仿宋" w:hint="eastAsia"/>
              </w:rPr>
              <w:t>2,469.79</w:t>
            </w:r>
          </w:p>
        </w:tc>
      </w:tr>
    </w:tbl>
    <w:p w:rsidR="00704C10" w:rsidRDefault="00704C10">
      <w:pPr>
        <w:ind w:leftChars="-100" w:left="-220"/>
        <w:rPr>
          <w:rFonts w:ascii="仿宋" w:eastAsia="仿宋" w:hAnsi="仿宋" w:cs="仿宋"/>
          <w:b/>
          <w:bCs/>
        </w:rPr>
        <w:sectPr w:rsidR="00704C10">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704C10">
        <w:trPr>
          <w:trHeight w:val="321"/>
        </w:trPr>
        <w:tc>
          <w:tcPr>
            <w:tcW w:w="15216" w:type="dxa"/>
            <w:gridSpan w:val="7"/>
            <w:vAlign w:val="center"/>
          </w:tcPr>
          <w:p w:rsidR="00704C10" w:rsidRDefault="005F3F4A">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704C10">
        <w:trPr>
          <w:trHeight w:val="321"/>
        </w:trPr>
        <w:tc>
          <w:tcPr>
            <w:tcW w:w="15216" w:type="dxa"/>
            <w:gridSpan w:val="7"/>
          </w:tcPr>
          <w:p w:rsidR="00704C10" w:rsidRDefault="005F3F4A">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704C10">
        <w:trPr>
          <w:trHeight w:val="309"/>
        </w:trPr>
        <w:tc>
          <w:tcPr>
            <w:tcW w:w="13552" w:type="dxa"/>
            <w:gridSpan w:val="6"/>
          </w:tcPr>
          <w:p w:rsidR="00704C10" w:rsidRDefault="005F3F4A">
            <w:pPr>
              <w:pStyle w:val="TableParagraph"/>
              <w:spacing w:after="34" w:line="34" w:lineRule="atLeast"/>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64" w:type="dxa"/>
            <w:vAlign w:val="center"/>
          </w:tcPr>
          <w:p w:rsidR="00704C10" w:rsidRDefault="005F3F4A">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704C10">
        <w:trPr>
          <w:trHeight w:val="319"/>
        </w:trPr>
        <w:tc>
          <w:tcPr>
            <w:tcW w:w="1846" w:type="dxa"/>
            <w:vMerge w:val="restart"/>
            <w:tcBorders>
              <w:top w:val="single" w:sz="6" w:space="0" w:color="000000"/>
              <w:left w:val="single" w:sz="6"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704C10">
        <w:trPr>
          <w:trHeight w:val="296"/>
        </w:trPr>
        <w:tc>
          <w:tcPr>
            <w:tcW w:w="1846" w:type="dxa"/>
            <w:vMerge/>
            <w:tcBorders>
              <w:left w:val="single" w:sz="6" w:space="0" w:color="000000"/>
              <w:bottom w:val="single" w:sz="6" w:space="0" w:color="000000"/>
            </w:tcBorders>
            <w:vAlign w:val="center"/>
          </w:tcPr>
          <w:p w:rsidR="00704C10" w:rsidRDefault="00704C10">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704C10" w:rsidRDefault="00704C10">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704C10" w:rsidRDefault="00704C10">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704C10" w:rsidRDefault="005F3F4A">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704C10" w:rsidRDefault="005F3F4A">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704C10" w:rsidRDefault="005F3F4A">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704C10" w:rsidRDefault="00704C10">
            <w:pPr>
              <w:spacing w:after="34" w:line="34" w:lineRule="atLeast"/>
              <w:rPr>
                <w:rFonts w:ascii="仿宋" w:eastAsia="仿宋" w:hAnsi="仿宋" w:cs="仿宋"/>
              </w:rPr>
            </w:pPr>
          </w:p>
        </w:tc>
      </w:tr>
      <w:tr w:rsidR="00704C10">
        <w:trPr>
          <w:trHeight w:hRule="exact" w:val="350"/>
        </w:trPr>
        <w:tc>
          <w:tcPr>
            <w:tcW w:w="6059" w:type="dxa"/>
            <w:gridSpan w:val="2"/>
            <w:tcBorders>
              <w:left w:val="single" w:sz="6" w:space="0" w:color="000000"/>
              <w:bottom w:val="single" w:sz="6" w:space="0" w:color="000000"/>
            </w:tcBorders>
            <w:vAlign w:val="center"/>
          </w:tcPr>
          <w:p w:rsidR="00704C10" w:rsidRDefault="005F3F4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2,469.79</w:t>
            </w:r>
          </w:p>
        </w:tc>
        <w:tc>
          <w:tcPr>
            <w:tcW w:w="1827" w:type="dxa"/>
            <w:tcBorders>
              <w:left w:val="single" w:sz="6" w:space="0" w:color="000000"/>
              <w:bottom w:val="single" w:sz="6" w:space="0" w:color="000000"/>
            </w:tcBorders>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2,468.55</w:t>
            </w:r>
          </w:p>
        </w:tc>
        <w:tc>
          <w:tcPr>
            <w:tcW w:w="1813" w:type="dxa"/>
            <w:tcBorders>
              <w:left w:val="single" w:sz="6" w:space="0" w:color="000000"/>
              <w:bottom w:val="single" w:sz="6" w:space="0" w:color="000000"/>
            </w:tcBorders>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2,093.84</w:t>
            </w:r>
          </w:p>
        </w:tc>
        <w:tc>
          <w:tcPr>
            <w:tcW w:w="1813" w:type="dxa"/>
            <w:tcBorders>
              <w:left w:val="single" w:sz="6" w:space="0" w:color="000000"/>
              <w:bottom w:val="single" w:sz="6" w:space="0" w:color="000000"/>
            </w:tcBorders>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374.71</w:t>
            </w:r>
          </w:p>
        </w:tc>
        <w:tc>
          <w:tcPr>
            <w:tcW w:w="1664" w:type="dxa"/>
            <w:tcBorders>
              <w:left w:val="single" w:sz="6" w:space="0" w:color="000000"/>
              <w:bottom w:val="single" w:sz="6" w:space="0" w:color="000000"/>
              <w:right w:val="single" w:sz="6" w:space="0" w:color="000000"/>
            </w:tcBorders>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1.24</w:t>
            </w: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1,417.70</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1,416.46</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1,047.32</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369.14</w:t>
            </w: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1.24</w:t>
            </w: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1,417.70</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1,416.46</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1,047.32</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369.14</w:t>
            </w: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1.24</w:t>
            </w: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1,416.46</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1,416.46</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1,047.32</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369.14</w:t>
            </w: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2012502</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1.24</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1.24</w:t>
            </w: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337.27</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337.27</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331.70</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5.57</w:t>
            </w: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337.27</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337.27</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331.70</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5.57</w:t>
            </w: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128.54</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128.54</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122.97</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5.57</w:t>
            </w: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139.15</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139.15</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139.15</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69.58</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69.58</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69.58</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714.82</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714.82</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714.82</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714.82</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714.82</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714.82</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174.57</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174.57</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174.57</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r w:rsidR="00704C1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540.25</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540.25</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spacing w:after="34" w:line="34" w:lineRule="atLeast"/>
              <w:jc w:val="right"/>
              <w:rPr>
                <w:rFonts w:ascii="仿宋" w:eastAsia="仿宋" w:hAnsi="仿宋" w:cs="仿宋"/>
              </w:rPr>
            </w:pPr>
            <w:r>
              <w:rPr>
                <w:rFonts w:ascii="仿宋" w:eastAsia="仿宋" w:hAnsi="仿宋" w:cs="仿宋" w:hint="eastAsia"/>
              </w:rPr>
              <w:t>540.25</w:t>
            </w:r>
          </w:p>
        </w:tc>
        <w:tc>
          <w:tcPr>
            <w:tcW w:w="1813"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spacing w:after="34" w:line="34" w:lineRule="atLeast"/>
              <w:jc w:val="right"/>
              <w:rPr>
                <w:rFonts w:ascii="仿宋" w:eastAsia="仿宋" w:hAnsi="仿宋" w:cs="仿宋"/>
              </w:rPr>
            </w:pPr>
          </w:p>
        </w:tc>
      </w:tr>
    </w:tbl>
    <w:p w:rsidR="00704C10" w:rsidRDefault="00704C10">
      <w:pPr>
        <w:tabs>
          <w:tab w:val="left" w:pos="55"/>
        </w:tabs>
        <w:jc w:val="both"/>
        <w:rPr>
          <w:rFonts w:ascii="仿宋" w:eastAsia="仿宋" w:hAnsi="仿宋" w:cs="仿宋"/>
          <w:b/>
          <w:bCs/>
        </w:rPr>
        <w:sectPr w:rsidR="00704C10">
          <w:footerReference w:type="default" r:id="rId15"/>
          <w:pgSz w:w="16838" w:h="11906" w:orient="landscape"/>
          <w:pgMar w:top="720" w:right="720" w:bottom="720" w:left="720" w:header="170" w:footer="280" w:gutter="0"/>
          <w:pgNumType w:fmt="numberInDash"/>
          <w:cols w:space="720"/>
          <w:formProt w:val="0"/>
          <w:docGrid w:linePitch="100"/>
        </w:sectPr>
      </w:pPr>
    </w:p>
    <w:p w:rsidR="00704C10" w:rsidRDefault="00704C10">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704C10">
        <w:trPr>
          <w:trHeight w:val="319"/>
        </w:trPr>
        <w:tc>
          <w:tcPr>
            <w:tcW w:w="10817" w:type="dxa"/>
            <w:gridSpan w:val="5"/>
            <w:vAlign w:val="center"/>
          </w:tcPr>
          <w:p w:rsidR="00704C10" w:rsidRDefault="005F3F4A">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704C10">
        <w:trPr>
          <w:trHeight w:val="319"/>
        </w:trPr>
        <w:tc>
          <w:tcPr>
            <w:tcW w:w="10817" w:type="dxa"/>
            <w:gridSpan w:val="5"/>
          </w:tcPr>
          <w:p w:rsidR="00704C10" w:rsidRDefault="005F3F4A">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704C10">
        <w:trPr>
          <w:trHeight w:val="319"/>
        </w:trPr>
        <w:tc>
          <w:tcPr>
            <w:tcW w:w="8760" w:type="dxa"/>
            <w:gridSpan w:val="4"/>
          </w:tcPr>
          <w:p w:rsidR="00704C10" w:rsidRDefault="005F3F4A">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057" w:type="dxa"/>
            <w:vAlign w:val="center"/>
          </w:tcPr>
          <w:p w:rsidR="00704C10" w:rsidRDefault="005F3F4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704C10">
        <w:trPr>
          <w:trHeight w:val="243"/>
        </w:trPr>
        <w:tc>
          <w:tcPr>
            <w:tcW w:w="4673" w:type="dxa"/>
            <w:gridSpan w:val="2"/>
            <w:tcBorders>
              <w:top w:val="single" w:sz="4" w:space="0" w:color="000000"/>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704C10">
        <w:trPr>
          <w:trHeight w:val="267"/>
        </w:trPr>
        <w:tc>
          <w:tcPr>
            <w:tcW w:w="1131"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公用经费</w:t>
            </w:r>
          </w:p>
        </w:tc>
      </w:tr>
      <w:tr w:rsidR="00704C10">
        <w:trPr>
          <w:trHeight w:hRule="exact" w:val="350"/>
        </w:trPr>
        <w:tc>
          <w:tcPr>
            <w:tcW w:w="4673" w:type="dxa"/>
            <w:gridSpan w:val="2"/>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2,468.55</w:t>
            </w:r>
          </w:p>
        </w:tc>
        <w:tc>
          <w:tcPr>
            <w:tcW w:w="2040" w:type="dxa"/>
            <w:tcBorders>
              <w:left w:val="single" w:sz="4" w:space="0" w:color="000000"/>
              <w:bottom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2,093.84</w:t>
            </w:r>
          </w:p>
        </w:tc>
        <w:tc>
          <w:tcPr>
            <w:tcW w:w="2057" w:type="dxa"/>
            <w:tcBorders>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374.71</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1,740.17</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1,740.17</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291.00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291.00</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649.10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649.10</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310.66</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310.66</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139.15</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139.15</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69.58</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69.58</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55.62</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55.62</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1.71</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1.71</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174.57</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174.57</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34.78</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34.78</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14.00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14.00</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374.71</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374.71</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17.46</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17.46</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20.36</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20.36</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1.60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1.60</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0.60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0.60</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250.00</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0.70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0.70</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1.50</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3.28</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3.28</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12.90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12.90</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2.77</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2.77</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50.22</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50.22</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lastRenderedPageBreak/>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13.32</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13.32</w:t>
            </w: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309.87</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309.87</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46.16</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46.16</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261.77</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261.77</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1.94</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1.94</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43.80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43.80</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43.80</w:t>
            </w:r>
          </w:p>
        </w:tc>
        <w:tc>
          <w:tcPr>
            <w:tcW w:w="2040"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43.80</w:t>
            </w:r>
          </w:p>
        </w:tc>
        <w:tc>
          <w:tcPr>
            <w:tcW w:w="2057"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bl>
    <w:p w:rsidR="00704C10" w:rsidRDefault="00704C10">
      <w:pPr>
        <w:spacing w:line="255" w:lineRule="exact"/>
        <w:rPr>
          <w:rFonts w:ascii="仿宋" w:eastAsia="仿宋" w:hAnsi="仿宋" w:cs="仿宋"/>
          <w:b/>
          <w:bCs/>
        </w:rPr>
        <w:sectPr w:rsidR="00704C10">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704C10">
        <w:trPr>
          <w:trHeight w:val="321"/>
        </w:trPr>
        <w:tc>
          <w:tcPr>
            <w:tcW w:w="15216" w:type="dxa"/>
            <w:gridSpan w:val="7"/>
            <w:vAlign w:val="center"/>
          </w:tcPr>
          <w:p w:rsidR="00704C10" w:rsidRDefault="005F3F4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704C10">
        <w:trPr>
          <w:trHeight w:val="321"/>
        </w:trPr>
        <w:tc>
          <w:tcPr>
            <w:tcW w:w="15216" w:type="dxa"/>
            <w:gridSpan w:val="7"/>
          </w:tcPr>
          <w:p w:rsidR="00704C10" w:rsidRDefault="005F3F4A">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704C10">
        <w:trPr>
          <w:trHeight w:val="288"/>
        </w:trPr>
        <w:tc>
          <w:tcPr>
            <w:tcW w:w="13566" w:type="dxa"/>
            <w:gridSpan w:val="6"/>
          </w:tcPr>
          <w:p w:rsidR="00704C10" w:rsidRDefault="005F3F4A">
            <w:pPr>
              <w:pStyle w:val="TableParagraph"/>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50" w:type="dxa"/>
            <w:vAlign w:val="center"/>
          </w:tcPr>
          <w:p w:rsidR="00704C10" w:rsidRDefault="005F3F4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704C10">
        <w:trPr>
          <w:trHeight w:val="319"/>
        </w:trPr>
        <w:tc>
          <w:tcPr>
            <w:tcW w:w="1792" w:type="dxa"/>
            <w:vMerge w:val="restart"/>
            <w:tcBorders>
              <w:top w:val="single" w:sz="6" w:space="0" w:color="000000"/>
              <w:left w:val="single" w:sz="6"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项目支出</w:t>
            </w:r>
          </w:p>
        </w:tc>
      </w:tr>
      <w:tr w:rsidR="00704C10">
        <w:trPr>
          <w:trHeight w:val="341"/>
        </w:trPr>
        <w:tc>
          <w:tcPr>
            <w:tcW w:w="1792" w:type="dxa"/>
            <w:vMerge/>
            <w:tcBorders>
              <w:left w:val="single" w:sz="6" w:space="0" w:color="000000"/>
              <w:bottom w:val="single" w:sz="6" w:space="0" w:color="000000"/>
            </w:tcBorders>
            <w:vAlign w:val="center"/>
          </w:tcPr>
          <w:p w:rsidR="00704C10" w:rsidRDefault="00704C10">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704C10" w:rsidRDefault="00704C10">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704C10" w:rsidRDefault="00704C10">
            <w:pPr>
              <w:rPr>
                <w:rFonts w:ascii="仿宋" w:eastAsia="仿宋" w:hAnsi="仿宋" w:cs="仿宋"/>
              </w:rPr>
            </w:pPr>
          </w:p>
        </w:tc>
        <w:tc>
          <w:tcPr>
            <w:tcW w:w="1693" w:type="dxa"/>
            <w:tcBorders>
              <w:left w:val="single" w:sz="6" w:space="0" w:color="000000"/>
              <w:bottom w:val="single" w:sz="6" w:space="0" w:color="000000"/>
            </w:tcBorders>
            <w:vAlign w:val="center"/>
          </w:tcPr>
          <w:p w:rsidR="00704C10" w:rsidRDefault="005F3F4A">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704C10" w:rsidRDefault="005F3F4A">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704C10" w:rsidRDefault="005F3F4A">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704C10" w:rsidRDefault="00704C10">
            <w:pPr>
              <w:rPr>
                <w:rFonts w:ascii="仿宋" w:eastAsia="仿宋" w:hAnsi="仿宋" w:cs="仿宋"/>
              </w:rPr>
            </w:pPr>
          </w:p>
        </w:tc>
      </w:tr>
      <w:tr w:rsidR="00704C10">
        <w:trPr>
          <w:trHeight w:hRule="exact" w:val="378"/>
        </w:trPr>
        <w:tc>
          <w:tcPr>
            <w:tcW w:w="6099" w:type="dxa"/>
            <w:gridSpan w:val="2"/>
            <w:tcBorders>
              <w:left w:val="single" w:sz="6" w:space="0" w:color="000000"/>
              <w:bottom w:val="single" w:sz="6"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2,469.79</w:t>
            </w:r>
          </w:p>
        </w:tc>
        <w:tc>
          <w:tcPr>
            <w:tcW w:w="1693" w:type="dxa"/>
            <w:tcBorders>
              <w:left w:val="single" w:sz="6" w:space="0" w:color="000000"/>
              <w:bottom w:val="single" w:sz="6"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2,468.55</w:t>
            </w:r>
          </w:p>
        </w:tc>
        <w:tc>
          <w:tcPr>
            <w:tcW w:w="1987" w:type="dxa"/>
            <w:tcBorders>
              <w:left w:val="single" w:sz="6" w:space="0" w:color="000000"/>
              <w:bottom w:val="single" w:sz="6"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2,093.84</w:t>
            </w:r>
          </w:p>
        </w:tc>
        <w:tc>
          <w:tcPr>
            <w:tcW w:w="1827" w:type="dxa"/>
            <w:tcBorders>
              <w:left w:val="single" w:sz="6" w:space="0" w:color="000000"/>
              <w:bottom w:val="single" w:sz="6"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374.71</w:t>
            </w:r>
          </w:p>
        </w:tc>
        <w:tc>
          <w:tcPr>
            <w:tcW w:w="1650" w:type="dxa"/>
            <w:tcBorders>
              <w:left w:val="single" w:sz="6" w:space="0" w:color="000000"/>
              <w:bottom w:val="single" w:sz="6" w:space="0" w:color="000000"/>
              <w:right w:val="single" w:sz="6" w:space="0" w:color="000000"/>
            </w:tcBorders>
          </w:tcPr>
          <w:p w:rsidR="00704C10" w:rsidRDefault="005F3F4A">
            <w:pPr>
              <w:pStyle w:val="TableParagraph"/>
              <w:jc w:val="right"/>
              <w:rPr>
                <w:rFonts w:ascii="仿宋" w:eastAsia="仿宋" w:hAnsi="仿宋" w:cs="仿宋"/>
              </w:rPr>
            </w:pPr>
            <w:r>
              <w:rPr>
                <w:rFonts w:ascii="仿宋" w:eastAsia="仿宋" w:hAnsi="仿宋" w:cs="仿宋" w:hint="eastAsia"/>
              </w:rPr>
              <w:t>1.24</w:t>
            </w: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1,417.70</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1,416.46</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1,047.32</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369.14</w:t>
            </w: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1.24</w:t>
            </w: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1,417.70</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1,416.46</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1,047.32</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369.14</w:t>
            </w: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1.24</w:t>
            </w: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1,416.46</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1,416.46</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1,047.32</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369.14</w:t>
            </w: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2012502</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1.24</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1.24</w:t>
            </w: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337.27</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337.27</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331.70</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5.57</w:t>
            </w: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337.27</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337.27</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331.70</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5.57</w:t>
            </w: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128.54</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128.54</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122.97</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5.57</w:t>
            </w: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139.15</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139.15</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139.15</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69.58</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69.58</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69.58</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714.82</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174.57</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174.57</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174.57</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540.25</w:t>
            </w:r>
          </w:p>
        </w:tc>
        <w:tc>
          <w:tcPr>
            <w:tcW w:w="1693"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540.25</w:t>
            </w:r>
          </w:p>
        </w:tc>
        <w:tc>
          <w:tcPr>
            <w:tcW w:w="1987" w:type="dxa"/>
            <w:tcBorders>
              <w:top w:val="single" w:sz="6" w:space="0" w:color="000000"/>
              <w:left w:val="single" w:sz="4" w:space="0" w:color="000000"/>
              <w:bottom w:val="single" w:sz="6"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540.25</w:t>
            </w:r>
          </w:p>
        </w:tc>
        <w:tc>
          <w:tcPr>
            <w:tcW w:w="1827" w:type="dxa"/>
            <w:tcBorders>
              <w:top w:val="single" w:sz="6" w:space="0" w:color="000000"/>
              <w:left w:val="single" w:sz="4" w:space="0" w:color="000000"/>
              <w:bottom w:val="single" w:sz="6"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704C10" w:rsidRDefault="00704C10">
            <w:pPr>
              <w:pStyle w:val="TableParagraph"/>
              <w:jc w:val="right"/>
              <w:rPr>
                <w:rFonts w:ascii="仿宋" w:eastAsia="仿宋" w:hAnsi="仿宋" w:cs="仿宋"/>
              </w:rPr>
            </w:pPr>
          </w:p>
        </w:tc>
      </w:tr>
    </w:tbl>
    <w:p w:rsidR="00704C10" w:rsidRDefault="00704C10">
      <w:pPr>
        <w:spacing w:before="25"/>
        <w:rPr>
          <w:rFonts w:ascii="仿宋" w:eastAsia="仿宋" w:hAnsi="仿宋" w:cs="仿宋"/>
          <w:b/>
          <w:bCs/>
        </w:rPr>
        <w:sectPr w:rsidR="00704C10">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704C10">
        <w:trPr>
          <w:trHeight w:val="319"/>
        </w:trPr>
        <w:tc>
          <w:tcPr>
            <w:tcW w:w="10954" w:type="dxa"/>
            <w:gridSpan w:val="5"/>
          </w:tcPr>
          <w:p w:rsidR="00704C10" w:rsidRDefault="005F3F4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704C10">
        <w:trPr>
          <w:trHeight w:val="189"/>
        </w:trPr>
        <w:tc>
          <w:tcPr>
            <w:tcW w:w="10954" w:type="dxa"/>
            <w:gridSpan w:val="5"/>
          </w:tcPr>
          <w:p w:rsidR="00704C10" w:rsidRDefault="005F3F4A">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704C10">
        <w:trPr>
          <w:trHeight w:val="138"/>
        </w:trPr>
        <w:tc>
          <w:tcPr>
            <w:tcW w:w="9281" w:type="dxa"/>
            <w:gridSpan w:val="4"/>
            <w:vAlign w:val="center"/>
          </w:tcPr>
          <w:p w:rsidR="00704C10" w:rsidRDefault="005F3F4A">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73" w:type="dxa"/>
            <w:vAlign w:val="center"/>
          </w:tcPr>
          <w:p w:rsidR="00704C10" w:rsidRDefault="005F3F4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704C10">
        <w:trPr>
          <w:trHeight w:val="180"/>
        </w:trPr>
        <w:tc>
          <w:tcPr>
            <w:tcW w:w="4894" w:type="dxa"/>
            <w:gridSpan w:val="2"/>
            <w:tcBorders>
              <w:top w:val="single" w:sz="4" w:space="0" w:color="000000"/>
              <w:left w:val="single" w:sz="4" w:space="0" w:color="000000"/>
              <w:bottom w:val="single" w:sz="4" w:space="0" w:color="000000"/>
            </w:tcBorders>
            <w:vAlign w:val="center"/>
          </w:tcPr>
          <w:p w:rsidR="00704C10" w:rsidRDefault="005F3F4A">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704C10" w:rsidRDefault="005F3F4A">
            <w:pPr>
              <w:jc w:val="center"/>
              <w:rPr>
                <w:rFonts w:ascii="仿宋" w:eastAsia="仿宋" w:hAnsi="仿宋" w:cs="仿宋"/>
              </w:rPr>
            </w:pPr>
            <w:r>
              <w:rPr>
                <w:rFonts w:ascii="仿宋" w:eastAsia="仿宋" w:hAnsi="仿宋" w:cs="仿宋" w:hint="eastAsia"/>
              </w:rPr>
              <w:t>本年一般公共预算基本支出</w:t>
            </w:r>
          </w:p>
        </w:tc>
      </w:tr>
      <w:tr w:rsidR="00704C10">
        <w:trPr>
          <w:trHeight w:val="190"/>
        </w:trPr>
        <w:tc>
          <w:tcPr>
            <w:tcW w:w="1227"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公用经费</w:t>
            </w:r>
          </w:p>
        </w:tc>
      </w:tr>
      <w:tr w:rsidR="00704C10">
        <w:trPr>
          <w:trHeight w:hRule="exact" w:val="382"/>
        </w:trPr>
        <w:tc>
          <w:tcPr>
            <w:tcW w:w="4894" w:type="dxa"/>
            <w:gridSpan w:val="2"/>
            <w:tcBorders>
              <w:left w:val="single" w:sz="4" w:space="0" w:color="000000"/>
              <w:bottom w:val="single" w:sz="4" w:space="0" w:color="000000"/>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2,468.55</w:t>
            </w:r>
          </w:p>
        </w:tc>
        <w:tc>
          <w:tcPr>
            <w:tcW w:w="1974" w:type="dxa"/>
            <w:tcBorders>
              <w:left w:val="single" w:sz="4" w:space="0" w:color="000000"/>
              <w:bottom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2,093.84</w:t>
            </w:r>
          </w:p>
        </w:tc>
        <w:tc>
          <w:tcPr>
            <w:tcW w:w="1673" w:type="dxa"/>
            <w:tcBorders>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374.71</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1,740.17</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1,740.17</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291.00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291.00</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649.10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649.10</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310.66</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310.66</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139.15</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139.15</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69.58</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69.58</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55.62</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55.62</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1.71</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1.71</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174.57</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174.57</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34.78</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34.78</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14.00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14.00</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374.71</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374.71</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17.46</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17.46</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20.36</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20.36</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1.60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1.60</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0.60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0.60</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30214</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租赁费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250.00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250.00</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0.70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0.70</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1.50</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3.28</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3.28</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12.90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12.90</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2.77</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2.77</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50.22</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50.22</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13.32</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13.32</w:t>
            </w: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lastRenderedPageBreak/>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309.87</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309.87</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46.16</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46.16</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261.77</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261.77</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1.94</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1.94</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43.80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43.80</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r w:rsidR="00704C1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43.80</w:t>
            </w:r>
          </w:p>
        </w:tc>
        <w:tc>
          <w:tcPr>
            <w:tcW w:w="1974" w:type="dxa"/>
            <w:tcBorders>
              <w:top w:val="single" w:sz="4" w:space="0" w:color="000000"/>
              <w:left w:val="single" w:sz="4" w:space="0" w:color="000000"/>
              <w:bottom w:val="single" w:sz="4" w:space="0" w:color="000000"/>
              <w:right w:val="single" w:sz="4" w:space="0" w:color="000000"/>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43.80</w:t>
            </w:r>
          </w:p>
        </w:tc>
        <w:tc>
          <w:tcPr>
            <w:tcW w:w="1673" w:type="dxa"/>
            <w:tcBorders>
              <w:top w:val="single" w:sz="4" w:space="0" w:color="000000"/>
              <w:left w:val="single" w:sz="4" w:space="0" w:color="000000"/>
              <w:bottom w:val="single" w:sz="4" w:space="0" w:color="000000"/>
              <w:right w:val="single" w:sz="4" w:space="0" w:color="000000"/>
            </w:tcBorders>
            <w:vAlign w:val="center"/>
          </w:tcPr>
          <w:p w:rsidR="00704C10" w:rsidRDefault="00704C10">
            <w:pPr>
              <w:pStyle w:val="TableParagraph"/>
              <w:jc w:val="right"/>
              <w:rPr>
                <w:rFonts w:ascii="仿宋" w:eastAsia="仿宋" w:hAnsi="仿宋" w:cs="仿宋"/>
              </w:rPr>
            </w:pPr>
          </w:p>
        </w:tc>
      </w:tr>
    </w:tbl>
    <w:p w:rsidR="00704C10" w:rsidRDefault="00704C10">
      <w:pPr>
        <w:spacing w:before="25"/>
        <w:rPr>
          <w:rFonts w:ascii="仿宋" w:eastAsia="仿宋" w:hAnsi="仿宋" w:cs="仿宋"/>
          <w:b/>
          <w:bCs/>
        </w:rPr>
        <w:sectPr w:rsidR="00704C10">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704C10">
        <w:trPr>
          <w:trHeight w:val="321"/>
        </w:trPr>
        <w:tc>
          <w:tcPr>
            <w:tcW w:w="15909" w:type="dxa"/>
            <w:gridSpan w:val="8"/>
          </w:tcPr>
          <w:p w:rsidR="00704C10" w:rsidRDefault="005F3F4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704C10">
        <w:trPr>
          <w:trHeight w:val="207"/>
        </w:trPr>
        <w:tc>
          <w:tcPr>
            <w:tcW w:w="15909" w:type="dxa"/>
            <w:gridSpan w:val="8"/>
          </w:tcPr>
          <w:p w:rsidR="00704C10" w:rsidRDefault="005F3F4A">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704C10">
        <w:trPr>
          <w:trHeight w:val="103"/>
        </w:trPr>
        <w:tc>
          <w:tcPr>
            <w:tcW w:w="12069" w:type="dxa"/>
            <w:gridSpan w:val="6"/>
            <w:tcBorders>
              <w:bottom w:val="single" w:sz="4" w:space="0" w:color="auto"/>
            </w:tcBorders>
          </w:tcPr>
          <w:p w:rsidR="00704C10" w:rsidRDefault="005F3F4A">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40" w:type="dxa"/>
            <w:gridSpan w:val="2"/>
            <w:tcBorders>
              <w:bottom w:val="single" w:sz="4" w:space="0" w:color="auto"/>
            </w:tcBorders>
            <w:vAlign w:val="center"/>
          </w:tcPr>
          <w:p w:rsidR="00704C10" w:rsidRDefault="005F3F4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704C10">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sz w:val="20"/>
              </w:rPr>
            </w:pPr>
            <w:r>
              <w:rPr>
                <w:rFonts w:ascii="仿宋" w:eastAsia="仿宋" w:hAnsi="仿宋" w:cs="仿宋" w:hint="eastAsia"/>
              </w:rPr>
              <w:t>培训费</w:t>
            </w:r>
          </w:p>
        </w:tc>
      </w:tr>
      <w:tr w:rsidR="00704C10">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704C10" w:rsidRDefault="00704C10">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704C10" w:rsidRDefault="00704C10">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704C10" w:rsidRDefault="00704C10">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704C10" w:rsidRDefault="00704C10">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704C10" w:rsidRDefault="00704C10">
            <w:pPr>
              <w:rPr>
                <w:rFonts w:ascii="仿宋" w:eastAsia="仿宋" w:hAnsi="仿宋" w:cs="仿宋"/>
                <w:sz w:val="2"/>
                <w:szCs w:val="2"/>
              </w:rPr>
            </w:pPr>
          </w:p>
        </w:tc>
      </w:tr>
      <w:tr w:rsidR="00704C10">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6.05</w:t>
            </w:r>
          </w:p>
        </w:tc>
        <w:tc>
          <w:tcPr>
            <w:tcW w:w="2332"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2.77</w:t>
            </w:r>
          </w:p>
        </w:tc>
        <w:tc>
          <w:tcPr>
            <w:tcW w:w="1697"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2.77</w:t>
            </w:r>
          </w:p>
        </w:tc>
        <w:tc>
          <w:tcPr>
            <w:tcW w:w="1852"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3.28</w:t>
            </w:r>
          </w:p>
        </w:tc>
        <w:tc>
          <w:tcPr>
            <w:tcW w:w="2057"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0.70</w:t>
            </w:r>
          </w:p>
        </w:tc>
        <w:tc>
          <w:tcPr>
            <w:tcW w:w="1783"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1.50</w:t>
            </w:r>
          </w:p>
        </w:tc>
      </w:tr>
    </w:tbl>
    <w:p w:rsidR="00704C10" w:rsidRDefault="00704C10" w:rsidP="00207AFF">
      <w:pPr>
        <w:ind w:left="227" w:firstLineChars="100" w:firstLine="231"/>
        <w:rPr>
          <w:rFonts w:ascii="仿宋" w:eastAsia="仿宋" w:hAnsi="仿宋" w:cs="仿宋"/>
          <w:b/>
          <w:bCs/>
        </w:rPr>
        <w:sectPr w:rsidR="00704C10">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704C10">
        <w:trPr>
          <w:trHeight w:val="213"/>
        </w:trPr>
        <w:tc>
          <w:tcPr>
            <w:tcW w:w="10812" w:type="dxa"/>
            <w:gridSpan w:val="5"/>
            <w:tcBorders>
              <w:top w:val="nil"/>
              <w:left w:val="nil"/>
              <w:bottom w:val="nil"/>
              <w:right w:val="nil"/>
            </w:tcBorders>
            <w:vAlign w:val="center"/>
          </w:tcPr>
          <w:p w:rsidR="00704C10" w:rsidRDefault="005F3F4A">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704C10">
        <w:trPr>
          <w:trHeight w:val="213"/>
        </w:trPr>
        <w:tc>
          <w:tcPr>
            <w:tcW w:w="10812" w:type="dxa"/>
            <w:gridSpan w:val="5"/>
            <w:tcBorders>
              <w:top w:val="nil"/>
              <w:left w:val="nil"/>
              <w:bottom w:val="nil"/>
              <w:right w:val="nil"/>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704C10">
        <w:trPr>
          <w:trHeight w:val="213"/>
        </w:trPr>
        <w:tc>
          <w:tcPr>
            <w:tcW w:w="8327" w:type="dxa"/>
            <w:gridSpan w:val="4"/>
            <w:tcBorders>
              <w:top w:val="nil"/>
              <w:left w:val="nil"/>
              <w:bottom w:val="single" w:sz="4" w:space="0" w:color="auto"/>
              <w:right w:val="nil"/>
            </w:tcBorders>
            <w:vAlign w:val="center"/>
          </w:tcPr>
          <w:p w:rsidR="00704C10" w:rsidRDefault="005F3F4A">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485" w:type="dxa"/>
            <w:tcBorders>
              <w:top w:val="nil"/>
              <w:left w:val="nil"/>
              <w:bottom w:val="single" w:sz="4" w:space="0" w:color="auto"/>
              <w:right w:val="nil"/>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单位：万元</w:t>
            </w:r>
          </w:p>
        </w:tc>
      </w:tr>
      <w:tr w:rsidR="00704C10">
        <w:trPr>
          <w:trHeight w:val="187"/>
        </w:trPr>
        <w:tc>
          <w:tcPr>
            <w:tcW w:w="1618" w:type="dxa"/>
            <w:vMerge w:val="restart"/>
            <w:tcBorders>
              <w:top w:val="single" w:sz="4" w:space="0" w:color="auto"/>
              <w:left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本年政府性基金预算支出</w:t>
            </w:r>
          </w:p>
        </w:tc>
      </w:tr>
      <w:tr w:rsidR="00704C10">
        <w:trPr>
          <w:trHeight w:val="139"/>
        </w:trPr>
        <w:tc>
          <w:tcPr>
            <w:tcW w:w="1618" w:type="dxa"/>
            <w:vMerge/>
            <w:tcBorders>
              <w:left w:val="single" w:sz="4" w:space="0" w:color="auto"/>
              <w:bottom w:val="single" w:sz="4" w:space="0" w:color="auto"/>
              <w:right w:val="single" w:sz="4" w:space="0" w:color="auto"/>
            </w:tcBorders>
            <w:vAlign w:val="center"/>
          </w:tcPr>
          <w:p w:rsidR="00704C10" w:rsidRDefault="00704C10">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704C10" w:rsidRDefault="00704C10">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项目支出</w:t>
            </w:r>
          </w:p>
        </w:tc>
      </w:tr>
      <w:tr w:rsidR="00704C10">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704C10" w:rsidRDefault="00704C10">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704C10" w:rsidRDefault="005F3F4A">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704C10" w:rsidRDefault="00704C1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704C10" w:rsidRDefault="00704C1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704C10" w:rsidRDefault="00704C10">
            <w:pPr>
              <w:jc w:val="right"/>
              <w:rPr>
                <w:rFonts w:ascii="仿宋" w:eastAsia="仿宋" w:hAnsi="仿宋" w:cs="仿宋"/>
              </w:rPr>
            </w:pPr>
          </w:p>
        </w:tc>
      </w:tr>
      <w:tr w:rsidR="00704C10">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704C10" w:rsidRDefault="00704C10">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704C10" w:rsidRDefault="00704C10">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704C10" w:rsidRDefault="00704C1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704C10" w:rsidRDefault="00704C1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704C10" w:rsidRDefault="00704C10">
            <w:pPr>
              <w:jc w:val="right"/>
              <w:rPr>
                <w:rFonts w:ascii="仿宋" w:eastAsia="仿宋" w:hAnsi="仿宋" w:cs="仿宋"/>
              </w:rPr>
            </w:pPr>
          </w:p>
        </w:tc>
      </w:tr>
      <w:tr w:rsidR="00704C10">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704C10" w:rsidRDefault="00704C10">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704C10" w:rsidRDefault="00704C10">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704C10" w:rsidRDefault="00704C1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704C10" w:rsidRDefault="00704C1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704C10" w:rsidRDefault="00704C10">
            <w:pPr>
              <w:jc w:val="right"/>
              <w:rPr>
                <w:rFonts w:ascii="仿宋" w:eastAsia="仿宋" w:hAnsi="仿宋" w:cs="仿宋"/>
              </w:rPr>
            </w:pPr>
          </w:p>
        </w:tc>
      </w:tr>
    </w:tbl>
    <w:p w:rsidR="00704C10" w:rsidRDefault="005F3F4A">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部门无政府性基金预算，也没有使用政府性基金安排的支出，故本表无数据。</w:t>
      </w:r>
    </w:p>
    <w:p w:rsidR="00704C10" w:rsidRDefault="00704C10">
      <w:pPr>
        <w:spacing w:before="25"/>
        <w:rPr>
          <w:rFonts w:ascii="仿宋" w:eastAsia="仿宋" w:hAnsi="仿宋" w:cs="仿宋"/>
          <w:b/>
          <w:bCs/>
          <w:lang w:val="en-US"/>
        </w:rPr>
        <w:sectPr w:rsidR="00704C10">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704C10">
        <w:trPr>
          <w:trHeight w:val="447"/>
          <w:jc w:val="center"/>
        </w:trPr>
        <w:tc>
          <w:tcPr>
            <w:tcW w:w="14695" w:type="dxa"/>
            <w:gridSpan w:val="5"/>
            <w:tcBorders>
              <w:top w:val="nil"/>
              <w:left w:val="nil"/>
              <w:bottom w:val="nil"/>
              <w:right w:val="nil"/>
            </w:tcBorders>
            <w:shd w:val="clear" w:color="auto" w:fill="auto"/>
            <w:vAlign w:val="center"/>
          </w:tcPr>
          <w:p w:rsidR="00704C10" w:rsidRDefault="005F3F4A">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704C10">
        <w:trPr>
          <w:trHeight w:val="960"/>
          <w:jc w:val="center"/>
        </w:trPr>
        <w:tc>
          <w:tcPr>
            <w:tcW w:w="14695" w:type="dxa"/>
            <w:gridSpan w:val="5"/>
            <w:tcBorders>
              <w:top w:val="nil"/>
              <w:left w:val="nil"/>
              <w:bottom w:val="nil"/>
              <w:right w:val="nil"/>
            </w:tcBorders>
            <w:shd w:val="clear" w:color="auto" w:fill="auto"/>
            <w:vAlign w:val="center"/>
          </w:tcPr>
          <w:p w:rsidR="00704C10" w:rsidRDefault="005F3F4A">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704C10">
        <w:trPr>
          <w:trHeight w:val="319"/>
          <w:jc w:val="center"/>
        </w:trPr>
        <w:tc>
          <w:tcPr>
            <w:tcW w:w="11604" w:type="dxa"/>
            <w:gridSpan w:val="4"/>
            <w:tcBorders>
              <w:top w:val="nil"/>
              <w:left w:val="nil"/>
              <w:bottom w:val="single" w:sz="4" w:space="0" w:color="auto"/>
              <w:right w:val="nil"/>
            </w:tcBorders>
            <w:shd w:val="clear" w:color="auto" w:fill="auto"/>
            <w:vAlign w:val="center"/>
          </w:tcPr>
          <w:p w:rsidR="00704C10" w:rsidRDefault="005F3F4A">
            <w:pPr>
              <w:widowControl/>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091" w:type="dxa"/>
            <w:tcBorders>
              <w:top w:val="nil"/>
              <w:left w:val="nil"/>
              <w:bottom w:val="nil"/>
              <w:right w:val="nil"/>
            </w:tcBorders>
            <w:shd w:val="clear" w:color="auto" w:fill="auto"/>
            <w:noWrap/>
            <w:vAlign w:val="center"/>
          </w:tcPr>
          <w:p w:rsidR="00704C10" w:rsidRDefault="005F3F4A">
            <w:pPr>
              <w:widowControl/>
              <w:jc w:val="right"/>
              <w:rPr>
                <w:rFonts w:ascii="仿宋" w:eastAsia="仿宋" w:hAnsi="仿宋" w:cs="仿宋"/>
              </w:rPr>
            </w:pPr>
            <w:r>
              <w:rPr>
                <w:rFonts w:ascii="仿宋" w:eastAsia="仿宋" w:hAnsi="仿宋" w:cs="仿宋" w:hint="eastAsia"/>
              </w:rPr>
              <w:t>单位：万元</w:t>
            </w:r>
          </w:p>
        </w:tc>
      </w:tr>
      <w:tr w:rsidR="00704C10">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项目支出</w:t>
            </w:r>
          </w:p>
        </w:tc>
      </w:tr>
      <w:tr w:rsidR="00704C10">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功能分类</w:t>
            </w:r>
          </w:p>
          <w:p w:rsidR="00704C10" w:rsidRDefault="005F3F4A">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704C10" w:rsidRDefault="00704C10">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704C10" w:rsidRDefault="00704C10">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704C10" w:rsidRDefault="00704C10">
            <w:pPr>
              <w:widowControl/>
              <w:spacing w:line="34" w:lineRule="atLeast"/>
              <w:rPr>
                <w:rFonts w:ascii="仿宋" w:eastAsia="仿宋" w:hAnsi="仿宋" w:cs="仿宋"/>
              </w:rPr>
            </w:pPr>
          </w:p>
        </w:tc>
      </w:tr>
      <w:tr w:rsidR="00704C10">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3</w:t>
            </w:r>
          </w:p>
        </w:tc>
      </w:tr>
      <w:tr w:rsidR="00704C10">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5F3F4A">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r>
      <w:tr w:rsidR="00704C10">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r>
      <w:tr w:rsidR="00704C10">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704C10" w:rsidRDefault="00704C10">
            <w:pPr>
              <w:widowControl/>
              <w:spacing w:line="34" w:lineRule="atLeast"/>
              <w:jc w:val="center"/>
              <w:rPr>
                <w:rFonts w:ascii="仿宋" w:eastAsia="仿宋" w:hAnsi="仿宋" w:cs="仿宋"/>
              </w:rPr>
            </w:pPr>
          </w:p>
        </w:tc>
      </w:tr>
    </w:tbl>
    <w:p w:rsidR="00704C10" w:rsidRDefault="005F3F4A" w:rsidP="00207AFF">
      <w:pPr>
        <w:spacing w:before="25"/>
        <w:ind w:firstLineChars="200" w:firstLine="462"/>
        <w:rPr>
          <w:rFonts w:ascii="仿宋" w:eastAsia="仿宋" w:hAnsi="仿宋" w:cs="仿宋"/>
          <w:b/>
          <w:bCs/>
          <w:lang w:val="en-US"/>
        </w:rPr>
      </w:pPr>
      <w:r>
        <w:rPr>
          <w:rFonts w:ascii="仿宋" w:eastAsia="仿宋" w:hAnsi="仿宋" w:cs="仿宋"/>
          <w:b/>
        </w:rPr>
        <w:t>注：本部门无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704C10" w:rsidRDefault="00704C10">
      <w:pPr>
        <w:spacing w:before="25"/>
        <w:rPr>
          <w:rFonts w:ascii="仿宋" w:eastAsia="仿宋" w:hAnsi="仿宋" w:cs="仿宋"/>
          <w:b/>
          <w:bCs/>
          <w:lang w:val="en-US"/>
        </w:rPr>
        <w:sectPr w:rsidR="00704C10">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704C10">
        <w:trPr>
          <w:trHeight w:val="319"/>
        </w:trPr>
        <w:tc>
          <w:tcPr>
            <w:tcW w:w="10235" w:type="dxa"/>
            <w:gridSpan w:val="4"/>
          </w:tcPr>
          <w:p w:rsidR="00704C10" w:rsidRDefault="005F3F4A">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704C10">
        <w:trPr>
          <w:trHeight w:val="90"/>
        </w:trPr>
        <w:tc>
          <w:tcPr>
            <w:tcW w:w="10235" w:type="dxa"/>
            <w:gridSpan w:val="4"/>
          </w:tcPr>
          <w:p w:rsidR="00704C10" w:rsidRDefault="005F3F4A">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704C10">
        <w:trPr>
          <w:trHeight w:val="90"/>
        </w:trPr>
        <w:tc>
          <w:tcPr>
            <w:tcW w:w="7884" w:type="dxa"/>
            <w:gridSpan w:val="3"/>
            <w:tcBorders>
              <w:bottom w:val="single" w:sz="4" w:space="0" w:color="auto"/>
            </w:tcBorders>
            <w:vAlign w:val="center"/>
          </w:tcPr>
          <w:p w:rsidR="00704C10" w:rsidRDefault="005F3F4A">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351" w:type="dxa"/>
            <w:tcBorders>
              <w:bottom w:val="single" w:sz="4" w:space="0" w:color="auto"/>
            </w:tcBorders>
            <w:vAlign w:val="center"/>
          </w:tcPr>
          <w:p w:rsidR="00704C10" w:rsidRDefault="005F3F4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704C10">
        <w:trPr>
          <w:trHeight w:val="363"/>
        </w:trPr>
        <w:tc>
          <w:tcPr>
            <w:tcW w:w="3088" w:type="dxa"/>
            <w:tcBorders>
              <w:top w:val="single" w:sz="4" w:space="0" w:color="auto"/>
              <w:left w:val="single" w:sz="4" w:space="0" w:color="auto"/>
              <w:bottom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704C10" w:rsidRDefault="005F3F4A">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704C10" w:rsidRDefault="005F3F4A">
            <w:pPr>
              <w:jc w:val="center"/>
              <w:rPr>
                <w:rFonts w:ascii="仿宋" w:eastAsia="仿宋" w:hAnsi="仿宋" w:cs="仿宋"/>
              </w:rPr>
            </w:pPr>
            <w:r>
              <w:rPr>
                <w:rFonts w:ascii="仿宋" w:eastAsia="仿宋" w:hAnsi="仿宋" w:cs="仿宋" w:hint="eastAsia"/>
              </w:rPr>
              <w:t>机关运行经费支出</w:t>
            </w:r>
          </w:p>
        </w:tc>
      </w:tr>
      <w:tr w:rsidR="00704C10">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704C10" w:rsidRDefault="005F3F4A">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374.71</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374.71</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17.46</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20.36</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1.60</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0.60</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30214</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租赁费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250.00</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0.70</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1.50</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3.28</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12.90</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2.77</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50.22</w:t>
            </w:r>
          </w:p>
        </w:tc>
      </w:tr>
      <w:tr w:rsidR="00704C1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704C10" w:rsidRDefault="005F3F4A">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704C10" w:rsidRDefault="005F3F4A">
            <w:pPr>
              <w:pStyle w:val="TableParagraph"/>
              <w:jc w:val="right"/>
              <w:rPr>
                <w:rFonts w:ascii="仿宋" w:eastAsia="仿宋" w:hAnsi="仿宋" w:cs="仿宋"/>
              </w:rPr>
            </w:pPr>
            <w:r>
              <w:rPr>
                <w:rFonts w:ascii="仿宋" w:eastAsia="仿宋" w:hAnsi="仿宋" w:cs="仿宋" w:hint="eastAsia"/>
              </w:rPr>
              <w:t>13.32</w:t>
            </w:r>
          </w:p>
        </w:tc>
      </w:tr>
    </w:tbl>
    <w:p w:rsidR="00704C10" w:rsidRDefault="005F3F4A">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704C10" w:rsidRDefault="00704C10">
      <w:pPr>
        <w:spacing w:before="78" w:line="290" w:lineRule="auto"/>
        <w:ind w:left="227" w:right="57"/>
        <w:jc w:val="both"/>
        <w:rPr>
          <w:rFonts w:ascii="仿宋" w:eastAsia="仿宋" w:hAnsi="仿宋" w:cs="仿宋"/>
          <w:b/>
          <w:bCs/>
        </w:rPr>
        <w:sectPr w:rsidR="00704C10">
          <w:footerReference w:type="default" r:id="rId21"/>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704C10">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704C10" w:rsidRDefault="005F3F4A">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704C10">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704C10" w:rsidRDefault="005F3F4A">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704C10">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704C10" w:rsidRDefault="005F3F4A">
            <w:pPr>
              <w:pStyle w:val="TableParagrap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704C10" w:rsidRDefault="00704C10">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704C10" w:rsidRDefault="005F3F4A">
            <w:pPr>
              <w:pStyle w:val="TableParagraph"/>
              <w:jc w:val="right"/>
              <w:rPr>
                <w:rFonts w:ascii="仿宋" w:eastAsia="仿宋" w:hAnsi="仿宋" w:cs="仿宋"/>
                <w:lang w:val="en-US"/>
              </w:rPr>
            </w:pPr>
            <w:r>
              <w:rPr>
                <w:rFonts w:ascii="仿宋" w:eastAsia="仿宋" w:hAnsi="仿宋" w:cs="仿宋" w:hint="eastAsia"/>
              </w:rPr>
              <w:t>单位：万元</w:t>
            </w:r>
          </w:p>
        </w:tc>
      </w:tr>
      <w:tr w:rsidR="00704C10">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704C10">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r>
      <w:tr w:rsidR="00704C10">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4.25</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4.25</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3.04</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2.94</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三人沙发</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保密柜</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w:t>
            </w:r>
            <w:r>
              <w:rPr>
                <w:rFonts w:ascii="仿宋" w:eastAsia="仿宋" w:hAnsi="仿宋" w:cs="仿宋" w:hint="eastAsia"/>
                <w:lang w:val="en-US"/>
              </w:rPr>
              <w:lastRenderedPageBreak/>
              <w:t>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lastRenderedPageBreak/>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文件柜</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汽油</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茶几</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1.21</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1.21</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lastRenderedPageBreak/>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1.01</w:t>
            </w:r>
          </w:p>
        </w:tc>
      </w:tr>
      <w:tr w:rsidR="00704C1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其他商业保险服务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704C1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704C10" w:rsidRDefault="005F3F4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bl>
    <w:p w:rsidR="00704C10" w:rsidRDefault="00704C10">
      <w:pPr>
        <w:rPr>
          <w:rFonts w:ascii="仿宋" w:eastAsia="仿宋" w:hAnsi="仿宋" w:cs="仿宋"/>
          <w:b/>
          <w:bCs/>
        </w:rPr>
        <w:sectPr w:rsidR="00704C10">
          <w:footerReference w:type="default" r:id="rId22"/>
          <w:pgSz w:w="16838" w:h="11906" w:orient="landscape"/>
          <w:pgMar w:top="1320" w:right="771" w:bottom="1320" w:left="770" w:header="170" w:footer="280" w:gutter="0"/>
          <w:pgNumType w:fmt="numberInDash"/>
          <w:cols w:space="720"/>
          <w:formProt w:val="0"/>
          <w:docGrid w:linePitch="100"/>
        </w:sectPr>
      </w:pPr>
    </w:p>
    <w:p w:rsidR="00704C10" w:rsidRDefault="005F3F4A">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部门</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704C10" w:rsidRDefault="00704C10">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年度收入、支出预算总计</w:t>
      </w:r>
      <w:r>
        <w:rPr>
          <w:rFonts w:ascii="仿宋" w:eastAsia="仿宋" w:hAnsi="仿宋" w:cs="仿宋"/>
        </w:rPr>
        <w:t>2,473.95</w:t>
      </w:r>
      <w:r>
        <w:rPr>
          <w:rFonts w:ascii="仿宋" w:eastAsia="仿宋" w:hAnsi="仿宋" w:cs="仿宋"/>
        </w:rPr>
        <w:t>万元，与上年相比收、支预算总计各减少</w:t>
      </w:r>
      <w:r>
        <w:rPr>
          <w:rFonts w:ascii="仿宋" w:eastAsia="仿宋" w:hAnsi="仿宋" w:cs="仿宋"/>
        </w:rPr>
        <w:t>46.48</w:t>
      </w:r>
      <w:r>
        <w:rPr>
          <w:rFonts w:ascii="仿宋" w:eastAsia="仿宋" w:hAnsi="仿宋" w:cs="仿宋"/>
        </w:rPr>
        <w:t>万元，减少</w:t>
      </w:r>
      <w:r>
        <w:rPr>
          <w:rFonts w:ascii="仿宋" w:eastAsia="仿宋" w:hAnsi="仿宋" w:cs="仿宋"/>
        </w:rPr>
        <w:t>1.84%</w:t>
      </w:r>
      <w:r>
        <w:rPr>
          <w:rFonts w:ascii="仿宋" w:eastAsia="仿宋" w:hAnsi="仿宋" w:cs="仿宋"/>
        </w:rPr>
        <w:t>。其中：</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2,473.95</w:t>
      </w:r>
      <w:r>
        <w:rPr>
          <w:rFonts w:ascii="仿宋" w:eastAsia="仿宋" w:hAnsi="仿宋" w:cs="仿宋"/>
          <w:b/>
        </w:rPr>
        <w:t>万元。包括：</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2,469.79</w:t>
      </w:r>
      <w:r>
        <w:rPr>
          <w:rFonts w:ascii="仿宋" w:eastAsia="仿宋" w:hAnsi="仿宋" w:cs="仿宋"/>
        </w:rPr>
        <w:t>万元。</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2,469.79</w:t>
      </w:r>
      <w:r>
        <w:rPr>
          <w:rFonts w:ascii="仿宋" w:eastAsia="仿宋" w:hAnsi="仿宋" w:cs="仿宋"/>
        </w:rPr>
        <w:t>万元，与上年相比减少</w:t>
      </w:r>
      <w:r>
        <w:rPr>
          <w:rFonts w:ascii="仿宋" w:eastAsia="仿宋" w:hAnsi="仿宋" w:cs="仿宋"/>
        </w:rPr>
        <w:t>50.64</w:t>
      </w:r>
      <w:r>
        <w:rPr>
          <w:rFonts w:ascii="仿宋" w:eastAsia="仿宋" w:hAnsi="仿宋" w:cs="仿宋"/>
        </w:rPr>
        <w:t>万元，减少</w:t>
      </w:r>
      <w:r>
        <w:rPr>
          <w:rFonts w:ascii="仿宋" w:eastAsia="仿宋" w:hAnsi="仿宋" w:cs="仿宋"/>
        </w:rPr>
        <w:t>2.01%</w:t>
      </w:r>
      <w:r>
        <w:rPr>
          <w:rFonts w:ascii="仿宋" w:eastAsia="仿宋" w:hAnsi="仿宋" w:cs="仿宋"/>
        </w:rPr>
        <w:t>。主要原因是落实过紧日子要求，压缩经费支出等。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4.16</w:t>
      </w:r>
      <w:r>
        <w:rPr>
          <w:rFonts w:ascii="仿宋" w:eastAsia="仿宋" w:hAnsi="仿宋" w:cs="仿宋"/>
        </w:rPr>
        <w:t>万元。与上年相比增加</w:t>
      </w:r>
      <w:r>
        <w:rPr>
          <w:rFonts w:ascii="仿宋" w:eastAsia="仿宋" w:hAnsi="仿宋" w:cs="仿宋"/>
        </w:rPr>
        <w:t>4.16</w:t>
      </w:r>
      <w:r>
        <w:rPr>
          <w:rFonts w:ascii="仿宋" w:eastAsia="仿宋" w:hAnsi="仿宋" w:cs="仿宋"/>
        </w:rPr>
        <w:t>万元（去年预算数为</w:t>
      </w:r>
      <w:r>
        <w:rPr>
          <w:rFonts w:ascii="仿宋" w:eastAsia="仿宋" w:hAnsi="仿宋" w:cs="仿宋"/>
        </w:rPr>
        <w:t>0</w:t>
      </w:r>
      <w:r>
        <w:rPr>
          <w:rFonts w:ascii="仿宋" w:eastAsia="仿宋" w:hAnsi="仿宋" w:cs="仿宋"/>
        </w:rPr>
        <w:t>万元，无法计算增减比率）。主要原因是动用财政代管资金。</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2,473.95</w:t>
      </w:r>
      <w:r>
        <w:rPr>
          <w:rFonts w:ascii="仿宋" w:eastAsia="仿宋" w:hAnsi="仿宋" w:cs="仿宋"/>
          <w:b/>
        </w:rPr>
        <w:t>万元</w:t>
      </w:r>
      <w:r>
        <w:rPr>
          <w:rFonts w:ascii="仿宋" w:eastAsia="仿宋" w:hAnsi="仿宋" w:cs="仿宋"/>
          <w:b/>
        </w:rPr>
        <w:t>。包括：</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2,473.95</w:t>
      </w:r>
      <w:r>
        <w:rPr>
          <w:rFonts w:ascii="仿宋" w:eastAsia="仿宋" w:hAnsi="仿宋" w:cs="仿宋"/>
        </w:rPr>
        <w:t>万元。</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1,421.86</w:t>
      </w:r>
      <w:r>
        <w:rPr>
          <w:rFonts w:ascii="仿宋" w:eastAsia="仿宋" w:hAnsi="仿宋" w:cs="仿宋"/>
        </w:rPr>
        <w:t>万元，主要用于工资福利支出、机关运行支出、办公设备购置等。与上年相比减少</w:t>
      </w:r>
      <w:r>
        <w:rPr>
          <w:rFonts w:ascii="仿宋" w:eastAsia="仿宋" w:hAnsi="仿宋" w:cs="仿宋"/>
        </w:rPr>
        <w:t>65.63</w:t>
      </w:r>
      <w:r>
        <w:rPr>
          <w:rFonts w:ascii="仿宋" w:eastAsia="仿宋" w:hAnsi="仿宋" w:cs="仿宋"/>
        </w:rPr>
        <w:t>万元，减少</w:t>
      </w:r>
      <w:r>
        <w:rPr>
          <w:rFonts w:ascii="仿宋" w:eastAsia="仿宋" w:hAnsi="仿宋" w:cs="仿宋"/>
        </w:rPr>
        <w:t>4.41%</w:t>
      </w:r>
      <w:r>
        <w:rPr>
          <w:rFonts w:ascii="仿宋" w:eastAsia="仿宋" w:hAnsi="仿宋" w:cs="仿宋"/>
        </w:rPr>
        <w:t>。主要原因是落实过紧日子要求，压缩经费支出等。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337.27</w:t>
      </w:r>
      <w:r>
        <w:rPr>
          <w:rFonts w:ascii="仿宋" w:eastAsia="仿宋" w:hAnsi="仿宋" w:cs="仿宋"/>
        </w:rPr>
        <w:t>万元，主要用于行政单位离退休人员支出、机关事业单位基本养老保险缴费支出、机关事业单位职业年金缴费支出。与上年相比增加</w:t>
      </w:r>
      <w:r>
        <w:rPr>
          <w:rFonts w:ascii="仿宋" w:eastAsia="仿宋" w:hAnsi="仿宋" w:cs="仿宋"/>
        </w:rPr>
        <w:t>12.13</w:t>
      </w:r>
      <w:r>
        <w:rPr>
          <w:rFonts w:ascii="仿宋" w:eastAsia="仿宋" w:hAnsi="仿宋" w:cs="仿宋"/>
        </w:rPr>
        <w:t>万元，增长</w:t>
      </w:r>
      <w:r>
        <w:rPr>
          <w:rFonts w:ascii="仿宋" w:eastAsia="仿宋" w:hAnsi="仿宋" w:cs="仿宋"/>
        </w:rPr>
        <w:t>3.73%</w:t>
      </w:r>
      <w:r>
        <w:rPr>
          <w:rFonts w:ascii="仿宋" w:eastAsia="仿宋" w:hAnsi="仿宋" w:cs="仿宋"/>
        </w:rPr>
        <w:t>。主要原因是部分在职人员保险缴费基数增加等。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3</w:t>
      </w:r>
      <w:r>
        <w:rPr>
          <w:rFonts w:ascii="仿宋" w:eastAsia="仿宋" w:hAnsi="仿宋" w:cs="仿宋"/>
        </w:rPr>
        <w:t>）住房保障支出（类）支出</w:t>
      </w:r>
      <w:r>
        <w:rPr>
          <w:rFonts w:ascii="仿宋" w:eastAsia="仿宋" w:hAnsi="仿宋" w:cs="仿宋"/>
        </w:rPr>
        <w:t>714.82</w:t>
      </w:r>
      <w:r>
        <w:rPr>
          <w:rFonts w:ascii="仿宋" w:eastAsia="仿宋" w:hAnsi="仿宋" w:cs="仿宋"/>
        </w:rPr>
        <w:t>万元，主要用于住房公积金、提租补贴。与上年相比增加</w:t>
      </w:r>
      <w:r>
        <w:rPr>
          <w:rFonts w:ascii="仿宋" w:eastAsia="仿宋" w:hAnsi="仿宋" w:cs="仿宋"/>
        </w:rPr>
        <w:t>7.02</w:t>
      </w:r>
      <w:r>
        <w:rPr>
          <w:rFonts w:ascii="仿宋" w:eastAsia="仿宋" w:hAnsi="仿宋" w:cs="仿宋"/>
        </w:rPr>
        <w:t>万元，增长</w:t>
      </w:r>
      <w:r>
        <w:rPr>
          <w:rFonts w:ascii="仿宋" w:eastAsia="仿宋" w:hAnsi="仿宋" w:cs="仿宋"/>
        </w:rPr>
        <w:t>0.99%</w:t>
      </w:r>
      <w:r>
        <w:rPr>
          <w:rFonts w:ascii="仿宋" w:eastAsia="仿宋" w:hAnsi="仿宋" w:cs="仿宋"/>
        </w:rPr>
        <w:t>。主要原因是部分在职人员住房公积金基数增加等。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年收入预算合计</w:t>
      </w:r>
      <w:r>
        <w:rPr>
          <w:rFonts w:ascii="仿宋" w:eastAsia="仿宋" w:hAnsi="仿宋" w:cs="仿宋"/>
        </w:rPr>
        <w:t>2,473.95</w:t>
      </w:r>
      <w:r>
        <w:rPr>
          <w:rFonts w:ascii="仿宋" w:eastAsia="仿宋" w:hAnsi="仿宋" w:cs="仿宋"/>
        </w:rPr>
        <w:t>万元，包括本年收入</w:t>
      </w:r>
      <w:r>
        <w:rPr>
          <w:rFonts w:ascii="仿宋" w:eastAsia="仿宋" w:hAnsi="仿宋" w:cs="仿宋"/>
        </w:rPr>
        <w:t>2,469.79</w:t>
      </w:r>
      <w:r>
        <w:rPr>
          <w:rFonts w:ascii="仿宋" w:eastAsia="仿宋" w:hAnsi="仿宋" w:cs="仿宋"/>
        </w:rPr>
        <w:t>万元，上年结转结余</w:t>
      </w:r>
      <w:r>
        <w:rPr>
          <w:rFonts w:ascii="仿宋" w:eastAsia="仿宋" w:hAnsi="仿宋" w:cs="仿宋"/>
        </w:rPr>
        <w:t>4.16</w:t>
      </w:r>
      <w:r>
        <w:rPr>
          <w:rFonts w:ascii="仿宋" w:eastAsia="仿宋" w:hAnsi="仿宋" w:cs="仿宋"/>
        </w:rPr>
        <w:t>万元。</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2,469.79</w:t>
      </w:r>
      <w:r>
        <w:rPr>
          <w:rFonts w:ascii="仿宋" w:eastAsia="仿宋" w:hAnsi="仿宋" w:cs="仿宋"/>
        </w:rPr>
        <w:t>万元，占</w:t>
      </w:r>
      <w:r>
        <w:rPr>
          <w:rFonts w:ascii="仿宋" w:eastAsia="仿宋" w:hAnsi="仿宋" w:cs="仿宋"/>
        </w:rPr>
        <w:t>99.83%</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4.16</w:t>
      </w:r>
      <w:r>
        <w:rPr>
          <w:rFonts w:ascii="仿宋" w:eastAsia="仿宋" w:hAnsi="仿宋" w:cs="仿宋"/>
        </w:rPr>
        <w:t>万元，占</w:t>
      </w:r>
      <w:r>
        <w:rPr>
          <w:rFonts w:ascii="仿宋" w:eastAsia="仿宋" w:hAnsi="仿宋" w:cs="仿宋"/>
        </w:rPr>
        <w:t>0.17%</w:t>
      </w:r>
      <w:r>
        <w:rPr>
          <w:rFonts w:ascii="仿宋" w:eastAsia="仿宋" w:hAnsi="仿宋" w:cs="仿宋"/>
        </w:rPr>
        <w:t>。</w:t>
      </w:r>
    </w:p>
    <w:p w:rsidR="00704C10" w:rsidRDefault="005F3F4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年支出预算合计</w:t>
      </w:r>
      <w:r>
        <w:rPr>
          <w:rFonts w:ascii="仿宋" w:eastAsia="仿宋" w:hAnsi="仿宋" w:cs="仿宋"/>
        </w:rPr>
        <w:t>2,473.95</w:t>
      </w:r>
      <w:r>
        <w:rPr>
          <w:rFonts w:ascii="仿宋" w:eastAsia="仿宋" w:hAnsi="仿宋" w:cs="仿宋"/>
        </w:rPr>
        <w:t>万元，其中：</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2,472.71</w:t>
      </w:r>
      <w:r>
        <w:rPr>
          <w:rFonts w:ascii="仿宋" w:eastAsia="仿宋" w:hAnsi="仿宋" w:cs="仿宋"/>
        </w:rPr>
        <w:t>万元，占</w:t>
      </w:r>
      <w:r>
        <w:rPr>
          <w:rFonts w:ascii="仿宋" w:eastAsia="仿宋" w:hAnsi="仿宋" w:cs="仿宋"/>
        </w:rPr>
        <w:t>99.95%</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项目支出</w:t>
      </w:r>
      <w:r>
        <w:rPr>
          <w:rFonts w:ascii="仿宋" w:eastAsia="仿宋" w:hAnsi="仿宋" w:cs="仿宋"/>
        </w:rPr>
        <w:t>1.24</w:t>
      </w:r>
      <w:r>
        <w:rPr>
          <w:rFonts w:ascii="仿宋" w:eastAsia="仿宋" w:hAnsi="仿宋" w:cs="仿宋"/>
        </w:rPr>
        <w:t>万元，占</w:t>
      </w:r>
      <w:r>
        <w:rPr>
          <w:rFonts w:ascii="仿宋" w:eastAsia="仿宋" w:hAnsi="仿宋" w:cs="仿宋"/>
        </w:rPr>
        <w:t>0.05%</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704C10" w:rsidRDefault="005F3F4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2,469.79</w:t>
      </w:r>
      <w:r>
        <w:rPr>
          <w:rFonts w:ascii="仿宋" w:eastAsia="仿宋" w:hAnsi="仿宋" w:cs="仿宋"/>
        </w:rPr>
        <w:t>万元。与上年相比，财政拨款收、支总计各减少</w:t>
      </w:r>
      <w:r>
        <w:rPr>
          <w:rFonts w:ascii="仿宋" w:eastAsia="仿宋" w:hAnsi="仿宋" w:cs="仿宋"/>
        </w:rPr>
        <w:t>50.64</w:t>
      </w:r>
      <w:r>
        <w:rPr>
          <w:rFonts w:ascii="仿宋" w:eastAsia="仿宋" w:hAnsi="仿宋" w:cs="仿宋"/>
        </w:rPr>
        <w:t>万元，减少</w:t>
      </w:r>
      <w:r>
        <w:rPr>
          <w:rFonts w:ascii="仿宋" w:eastAsia="仿宋" w:hAnsi="仿宋" w:cs="仿宋"/>
        </w:rPr>
        <w:t>2.01%</w:t>
      </w:r>
      <w:r>
        <w:rPr>
          <w:rFonts w:ascii="仿宋" w:eastAsia="仿宋" w:hAnsi="仿宋" w:cs="仿宋"/>
        </w:rPr>
        <w:t>。主要原因是落实过紧日子要求，压缩经费支出等</w:t>
      </w:r>
      <w:r>
        <w:rPr>
          <w:rFonts w:ascii="仿宋" w:eastAsia="仿宋" w:hAnsi="仿宋" w:cs="仿宋"/>
        </w:rPr>
        <w:t>。</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中国共产党南京市委员会台湾工作办公室</w:t>
      </w:r>
      <w:r>
        <w:rPr>
          <w:rFonts w:ascii="仿宋" w:eastAsia="仿宋" w:hAnsi="仿宋" w:cs="仿宋"/>
        </w:rPr>
        <w:t>2026</w:t>
      </w:r>
      <w:r>
        <w:rPr>
          <w:rFonts w:ascii="仿宋" w:eastAsia="仿宋" w:hAnsi="仿宋" w:cs="仿宋"/>
        </w:rPr>
        <w:t>年财政拨款预算支出</w:t>
      </w:r>
      <w:r>
        <w:rPr>
          <w:rFonts w:ascii="仿宋" w:eastAsia="仿宋" w:hAnsi="仿宋" w:cs="仿宋"/>
        </w:rPr>
        <w:t>2,469.79</w:t>
      </w:r>
      <w:r>
        <w:rPr>
          <w:rFonts w:ascii="仿宋" w:eastAsia="仿宋" w:hAnsi="仿宋" w:cs="仿宋"/>
        </w:rPr>
        <w:t>万元，占本年支出合计的</w:t>
      </w:r>
      <w:r>
        <w:rPr>
          <w:rFonts w:ascii="仿宋" w:eastAsia="仿宋" w:hAnsi="仿宋" w:cs="仿宋"/>
        </w:rPr>
        <w:t>99.83%</w:t>
      </w:r>
      <w:r>
        <w:rPr>
          <w:rFonts w:ascii="仿宋" w:eastAsia="仿宋" w:hAnsi="仿宋" w:cs="仿宋"/>
        </w:rPr>
        <w:t>。与上年相比，财政拨款支出减少</w:t>
      </w:r>
      <w:r>
        <w:rPr>
          <w:rFonts w:ascii="仿宋" w:eastAsia="仿宋" w:hAnsi="仿宋" w:cs="仿宋"/>
        </w:rPr>
        <w:t>50.64</w:t>
      </w:r>
      <w:r>
        <w:rPr>
          <w:rFonts w:ascii="仿宋" w:eastAsia="仿宋" w:hAnsi="仿宋" w:cs="仿宋"/>
        </w:rPr>
        <w:t>万元，减少</w:t>
      </w:r>
      <w:r>
        <w:rPr>
          <w:rFonts w:ascii="仿宋" w:eastAsia="仿宋" w:hAnsi="仿宋" w:cs="仿宋"/>
        </w:rPr>
        <w:t>2.01%</w:t>
      </w:r>
      <w:r>
        <w:rPr>
          <w:rFonts w:ascii="仿宋" w:eastAsia="仿宋" w:hAnsi="仿宋" w:cs="仿宋"/>
        </w:rPr>
        <w:t>。主要原因是落实过紧日子要求，压缩经费支出等。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（一）一般公共服务支出（类）</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1,416.46</w:t>
      </w:r>
      <w:r>
        <w:rPr>
          <w:rFonts w:ascii="仿宋" w:eastAsia="仿宋" w:hAnsi="仿宋" w:cs="仿宋"/>
        </w:rPr>
        <w:t>万元，与上年相比减少</w:t>
      </w:r>
      <w:r>
        <w:rPr>
          <w:rFonts w:ascii="仿宋" w:eastAsia="仿宋" w:hAnsi="仿宋" w:cs="仿宋"/>
        </w:rPr>
        <w:t>66.19</w:t>
      </w:r>
      <w:r>
        <w:rPr>
          <w:rFonts w:ascii="仿宋" w:eastAsia="仿宋" w:hAnsi="仿宋" w:cs="仿宋"/>
        </w:rPr>
        <w:t>万元，减少</w:t>
      </w:r>
      <w:r>
        <w:rPr>
          <w:rFonts w:ascii="仿宋" w:eastAsia="仿宋" w:hAnsi="仿宋" w:cs="仿宋"/>
        </w:rPr>
        <w:t>4.46%</w:t>
      </w:r>
      <w:r>
        <w:rPr>
          <w:rFonts w:ascii="仿宋" w:eastAsia="仿宋" w:hAnsi="仿宋" w:cs="仿宋"/>
        </w:rPr>
        <w:t>。主要原因是落实过紧日子要求，压缩经费支出等。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1.24</w:t>
      </w:r>
      <w:r>
        <w:rPr>
          <w:rFonts w:ascii="仿宋" w:eastAsia="仿宋" w:hAnsi="仿宋" w:cs="仿宋"/>
        </w:rPr>
        <w:t>万元，与上年相</w:t>
      </w:r>
      <w:r>
        <w:rPr>
          <w:rFonts w:ascii="仿宋" w:eastAsia="仿宋" w:hAnsi="仿宋" w:cs="仿宋"/>
        </w:rPr>
        <w:t>比减少</w:t>
      </w:r>
      <w:r>
        <w:rPr>
          <w:rFonts w:ascii="仿宋" w:eastAsia="仿宋" w:hAnsi="仿宋" w:cs="仿宋"/>
        </w:rPr>
        <w:t>3.6</w:t>
      </w:r>
      <w:r>
        <w:rPr>
          <w:rFonts w:ascii="仿宋" w:eastAsia="仿宋" w:hAnsi="仿宋" w:cs="仿宋"/>
        </w:rPr>
        <w:t>万元，减少</w:t>
      </w:r>
      <w:r>
        <w:rPr>
          <w:rFonts w:ascii="仿宋" w:eastAsia="仿宋" w:hAnsi="仿宋" w:cs="仿宋"/>
        </w:rPr>
        <w:t>74.38%</w:t>
      </w:r>
      <w:r>
        <w:rPr>
          <w:rFonts w:ascii="仿宋" w:eastAsia="仿宋" w:hAnsi="仿宋" w:cs="仿宋"/>
        </w:rPr>
        <w:t>。主要原因是落实过紧日子要求，压缩经费支出等。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128.54</w:t>
      </w:r>
      <w:r>
        <w:rPr>
          <w:rFonts w:ascii="仿宋" w:eastAsia="仿宋" w:hAnsi="仿宋" w:cs="仿宋"/>
        </w:rPr>
        <w:t>万元，与上年相比增加</w:t>
      </w:r>
      <w:r>
        <w:rPr>
          <w:rFonts w:ascii="仿宋" w:eastAsia="仿宋" w:hAnsi="仿宋" w:cs="仿宋"/>
        </w:rPr>
        <w:t>17.44</w:t>
      </w:r>
      <w:r>
        <w:rPr>
          <w:rFonts w:ascii="仿宋" w:eastAsia="仿宋" w:hAnsi="仿宋" w:cs="仿宋"/>
        </w:rPr>
        <w:t>万元，增长</w:t>
      </w:r>
      <w:r>
        <w:rPr>
          <w:rFonts w:ascii="仿宋" w:eastAsia="仿宋" w:hAnsi="仿宋" w:cs="仿宋"/>
        </w:rPr>
        <w:t>15.7%</w:t>
      </w:r>
      <w:r>
        <w:rPr>
          <w:rFonts w:ascii="仿宋" w:eastAsia="仿宋" w:hAnsi="仿宋" w:cs="仿宋"/>
        </w:rPr>
        <w:t>。主要原因是部分在职人员退休等。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w:t>
      </w:r>
      <w:r>
        <w:rPr>
          <w:rFonts w:ascii="仿宋" w:eastAsia="仿宋" w:hAnsi="仿宋" w:cs="仿宋"/>
        </w:rPr>
        <w:lastRenderedPageBreak/>
        <w:t>缴费支出（项）支出</w:t>
      </w:r>
      <w:r>
        <w:rPr>
          <w:rFonts w:ascii="仿宋" w:eastAsia="仿宋" w:hAnsi="仿宋" w:cs="仿宋"/>
        </w:rPr>
        <w:t>139.15</w:t>
      </w:r>
      <w:r>
        <w:rPr>
          <w:rFonts w:ascii="仿宋" w:eastAsia="仿宋" w:hAnsi="仿宋" w:cs="仿宋"/>
        </w:rPr>
        <w:t>万元，与上年相比减少</w:t>
      </w:r>
      <w:r>
        <w:rPr>
          <w:rFonts w:ascii="仿宋" w:eastAsia="仿宋" w:hAnsi="仿宋" w:cs="仿宋"/>
        </w:rPr>
        <w:t>3.55</w:t>
      </w:r>
      <w:r>
        <w:rPr>
          <w:rFonts w:ascii="仿宋" w:eastAsia="仿宋" w:hAnsi="仿宋" w:cs="仿宋"/>
        </w:rPr>
        <w:t>万元，减少</w:t>
      </w:r>
      <w:r>
        <w:rPr>
          <w:rFonts w:ascii="仿宋" w:eastAsia="仿宋" w:hAnsi="仿宋" w:cs="仿宋"/>
        </w:rPr>
        <w:t>2.49%</w:t>
      </w:r>
      <w:r>
        <w:rPr>
          <w:rFonts w:ascii="仿宋" w:eastAsia="仿宋" w:hAnsi="仿宋" w:cs="仿宋"/>
        </w:rPr>
        <w:t>。主要原因是部分在职人员退休等。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69.58</w:t>
      </w:r>
      <w:r>
        <w:rPr>
          <w:rFonts w:ascii="仿宋" w:eastAsia="仿宋" w:hAnsi="仿宋" w:cs="仿宋"/>
        </w:rPr>
        <w:t>万元</w:t>
      </w:r>
      <w:r>
        <w:rPr>
          <w:rFonts w:ascii="仿宋" w:eastAsia="仿宋" w:hAnsi="仿宋" w:cs="仿宋"/>
        </w:rPr>
        <w:t>，与上年相比减少</w:t>
      </w:r>
      <w:r>
        <w:rPr>
          <w:rFonts w:ascii="仿宋" w:eastAsia="仿宋" w:hAnsi="仿宋" w:cs="仿宋"/>
        </w:rPr>
        <w:t>1.76</w:t>
      </w:r>
      <w:r>
        <w:rPr>
          <w:rFonts w:ascii="仿宋" w:eastAsia="仿宋" w:hAnsi="仿宋" w:cs="仿宋"/>
        </w:rPr>
        <w:t>万元，减少</w:t>
      </w:r>
      <w:r>
        <w:rPr>
          <w:rFonts w:ascii="仿宋" w:eastAsia="仿宋" w:hAnsi="仿宋" w:cs="仿宋"/>
        </w:rPr>
        <w:t>2.47%</w:t>
      </w:r>
      <w:r>
        <w:rPr>
          <w:rFonts w:ascii="仿宋" w:eastAsia="仿宋" w:hAnsi="仿宋" w:cs="仿宋"/>
        </w:rPr>
        <w:t>。主要原因是部分在职人员退休等。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174.57</w:t>
      </w:r>
      <w:r>
        <w:rPr>
          <w:rFonts w:ascii="仿宋" w:eastAsia="仿宋" w:hAnsi="仿宋" w:cs="仿宋"/>
        </w:rPr>
        <w:t>万元，与上年相比减少</w:t>
      </w:r>
      <w:r>
        <w:rPr>
          <w:rFonts w:ascii="仿宋" w:eastAsia="仿宋" w:hAnsi="仿宋" w:cs="仿宋"/>
        </w:rPr>
        <w:t>2.42</w:t>
      </w:r>
      <w:r>
        <w:rPr>
          <w:rFonts w:ascii="仿宋" w:eastAsia="仿宋" w:hAnsi="仿宋" w:cs="仿宋"/>
        </w:rPr>
        <w:t>万元，减少</w:t>
      </w:r>
      <w:r>
        <w:rPr>
          <w:rFonts w:ascii="仿宋" w:eastAsia="仿宋" w:hAnsi="仿宋" w:cs="仿宋"/>
        </w:rPr>
        <w:t>1.37%</w:t>
      </w:r>
      <w:r>
        <w:rPr>
          <w:rFonts w:ascii="仿宋" w:eastAsia="仿宋" w:hAnsi="仿宋" w:cs="仿宋"/>
        </w:rPr>
        <w:t>。主要原因是部分在职人员退休等。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540.25</w:t>
      </w:r>
      <w:r>
        <w:rPr>
          <w:rFonts w:ascii="仿宋" w:eastAsia="仿宋" w:hAnsi="仿宋" w:cs="仿宋"/>
        </w:rPr>
        <w:t>万元，与上年相比增加</w:t>
      </w:r>
      <w:r>
        <w:rPr>
          <w:rFonts w:ascii="仿宋" w:eastAsia="仿宋" w:hAnsi="仿宋" w:cs="仿宋"/>
        </w:rPr>
        <w:t>9.44</w:t>
      </w:r>
      <w:r>
        <w:rPr>
          <w:rFonts w:ascii="仿宋" w:eastAsia="仿宋" w:hAnsi="仿宋" w:cs="仿宋"/>
        </w:rPr>
        <w:t>万元，增长</w:t>
      </w:r>
      <w:r>
        <w:rPr>
          <w:rFonts w:ascii="仿宋" w:eastAsia="仿宋" w:hAnsi="仿宋" w:cs="仿宋"/>
        </w:rPr>
        <w:t>1.78%</w:t>
      </w:r>
      <w:r>
        <w:rPr>
          <w:rFonts w:ascii="仿宋" w:eastAsia="仿宋" w:hAnsi="仿宋" w:cs="仿宋"/>
        </w:rPr>
        <w:t>。主要原因是调入军转干部等。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2,468.55</w:t>
      </w:r>
      <w:r>
        <w:rPr>
          <w:rFonts w:ascii="仿宋" w:eastAsia="仿宋" w:hAnsi="仿宋" w:cs="仿宋"/>
        </w:rPr>
        <w:t>万元，其中：</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2,093.84</w:t>
      </w:r>
      <w:r>
        <w:rPr>
          <w:rFonts w:ascii="仿宋" w:eastAsia="仿宋" w:hAnsi="仿宋" w:cs="仿宋"/>
        </w:rPr>
        <w:t>万元。主要包括：基本工资、津贴补贴、奖金、机关事业单位基本养老保险缴费、职业年金缴费、</w:t>
      </w:r>
      <w:r>
        <w:rPr>
          <w:rFonts w:ascii="仿宋" w:eastAsia="仿宋" w:hAnsi="仿宋" w:cs="仿宋"/>
        </w:rPr>
        <w:lastRenderedPageBreak/>
        <w:t>职工基本医疗保险缴费、其他社会保障缴费、住房公积金、医疗费、其他工资福利支出、离休费、退休费、其他对个人和家庭的补助、其他支出。</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374.71</w:t>
      </w:r>
      <w:r>
        <w:rPr>
          <w:rFonts w:ascii="仿宋" w:eastAsia="仿宋" w:hAnsi="仿宋" w:cs="仿宋"/>
        </w:rPr>
        <w:t>万元。主要包括：办公费、邮电费、差旅费、维修（护）费、租赁费、会议费、培训费、公务接待费、工会经费、公务用车运行维护费、其他交通费用、其他商品和服务支出。</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年一般</w:t>
      </w:r>
      <w:r>
        <w:rPr>
          <w:rFonts w:ascii="仿宋" w:eastAsia="仿宋" w:hAnsi="仿宋" w:cs="仿宋"/>
        </w:rPr>
        <w:t>公共预算财政拨款支出预算</w:t>
      </w:r>
      <w:r>
        <w:rPr>
          <w:rFonts w:ascii="仿宋" w:eastAsia="仿宋" w:hAnsi="仿宋" w:cs="仿宋"/>
        </w:rPr>
        <w:t>2,469.79</w:t>
      </w:r>
      <w:r>
        <w:rPr>
          <w:rFonts w:ascii="仿宋" w:eastAsia="仿宋" w:hAnsi="仿宋" w:cs="仿宋"/>
        </w:rPr>
        <w:t>万元，与上年相比减少</w:t>
      </w:r>
      <w:r>
        <w:rPr>
          <w:rFonts w:ascii="仿宋" w:eastAsia="仿宋" w:hAnsi="仿宋" w:cs="仿宋"/>
        </w:rPr>
        <w:t>50.64</w:t>
      </w:r>
      <w:r>
        <w:rPr>
          <w:rFonts w:ascii="仿宋" w:eastAsia="仿宋" w:hAnsi="仿宋" w:cs="仿宋"/>
        </w:rPr>
        <w:t>万元，减少</w:t>
      </w:r>
      <w:r>
        <w:rPr>
          <w:rFonts w:ascii="仿宋" w:eastAsia="仿宋" w:hAnsi="仿宋" w:cs="仿宋"/>
        </w:rPr>
        <w:t>2.01%</w:t>
      </w:r>
      <w:r>
        <w:rPr>
          <w:rFonts w:ascii="仿宋" w:eastAsia="仿宋" w:hAnsi="仿宋" w:cs="仿宋"/>
        </w:rPr>
        <w:t>。主要原因是落实过紧日子要求，压缩经费支出等。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2,468.55</w:t>
      </w:r>
      <w:r>
        <w:rPr>
          <w:rFonts w:ascii="仿宋" w:eastAsia="仿宋" w:hAnsi="仿宋" w:cs="仿宋"/>
        </w:rPr>
        <w:t>万元，其中：</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2,093.84</w:t>
      </w:r>
      <w:r>
        <w:rPr>
          <w:rFonts w:ascii="仿宋" w:eastAsia="仿宋" w:hAnsi="仿宋" w:cs="仿宋"/>
        </w:rPr>
        <w:t>万元。主要包括：基本工资、津贴补贴、奖金、机关事业单位基本养老保险缴费、职业年金缴费、</w:t>
      </w:r>
      <w:r>
        <w:rPr>
          <w:rFonts w:ascii="仿宋" w:eastAsia="仿宋" w:hAnsi="仿宋" w:cs="仿宋"/>
        </w:rPr>
        <w:lastRenderedPageBreak/>
        <w:t>职工基本医疗保险缴费、其他社会保障缴费、住房公积金、医疗费、其他工资福利支出、离休费、退休费、其他对个人和家庭</w:t>
      </w:r>
      <w:r>
        <w:rPr>
          <w:rFonts w:ascii="仿宋" w:eastAsia="仿宋" w:hAnsi="仿宋" w:cs="仿宋"/>
        </w:rPr>
        <w:t>的补助、其他支出。</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374.71</w:t>
      </w:r>
      <w:r>
        <w:rPr>
          <w:rFonts w:ascii="仿宋" w:eastAsia="仿宋" w:hAnsi="仿宋" w:cs="仿宋"/>
        </w:rPr>
        <w:t>万元。主要包括：办公费、邮电费、差旅费、维修（护）费、租赁费、会议费、培训费、公务接待费、工会经费、公务用车运行维护费、其他交通费用、其他商品和服务支出。</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6.05</w:t>
      </w:r>
      <w:r>
        <w:rPr>
          <w:rFonts w:ascii="仿宋" w:eastAsia="仿宋" w:hAnsi="仿宋" w:cs="仿宋"/>
        </w:rPr>
        <w:t>万元，比上年预算减少</w:t>
      </w:r>
      <w:r>
        <w:rPr>
          <w:rFonts w:ascii="仿宋" w:eastAsia="仿宋" w:hAnsi="仿宋" w:cs="仿宋"/>
        </w:rPr>
        <w:t>2.18</w:t>
      </w:r>
      <w:r>
        <w:rPr>
          <w:rFonts w:ascii="仿宋" w:eastAsia="仿宋" w:hAnsi="仿宋" w:cs="仿宋"/>
        </w:rPr>
        <w:t>万元，变动原因落实过紧日子要求，压缩经费支出等。其中，因公出国（境）费支出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w:t>
      </w:r>
      <w:r>
        <w:rPr>
          <w:rFonts w:ascii="仿宋" w:eastAsia="仿宋" w:hAnsi="仿宋" w:cs="仿宋"/>
        </w:rPr>
        <w:t>维护费支出</w:t>
      </w:r>
      <w:r>
        <w:rPr>
          <w:rFonts w:ascii="仿宋" w:eastAsia="仿宋" w:hAnsi="仿宋" w:cs="仿宋"/>
        </w:rPr>
        <w:t>2.77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45.79%</w:t>
      </w:r>
      <w:r>
        <w:rPr>
          <w:rFonts w:ascii="仿宋" w:eastAsia="仿宋" w:hAnsi="仿宋" w:cs="仿宋"/>
        </w:rPr>
        <w:t>；公务接待费支出</w:t>
      </w:r>
      <w:r>
        <w:rPr>
          <w:rFonts w:ascii="仿宋" w:eastAsia="仿宋" w:hAnsi="仿宋" w:cs="仿宋"/>
        </w:rPr>
        <w:t>3.28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54.21%</w:t>
      </w:r>
      <w:r>
        <w:rPr>
          <w:rFonts w:ascii="仿宋" w:eastAsia="仿宋" w:hAnsi="仿宋" w:cs="仿宋"/>
        </w:rPr>
        <w:t>。具体情况如下：</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w:t>
      </w:r>
      <w:r>
        <w:rPr>
          <w:rFonts w:ascii="仿宋" w:eastAsia="仿宋" w:hAnsi="仿宋" w:cs="仿宋"/>
        </w:rPr>
        <w:lastRenderedPageBreak/>
        <w:t>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2.77</w:t>
      </w:r>
      <w:r>
        <w:rPr>
          <w:rFonts w:ascii="仿宋" w:eastAsia="仿宋" w:hAnsi="仿宋" w:cs="仿宋"/>
        </w:rPr>
        <w:t>万元。其中：</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2.77</w:t>
      </w:r>
      <w:r>
        <w:rPr>
          <w:rFonts w:ascii="仿宋" w:eastAsia="仿宋" w:hAnsi="仿宋" w:cs="仿宋"/>
        </w:rPr>
        <w:t>万元，比上年预算减少</w:t>
      </w:r>
      <w:r>
        <w:rPr>
          <w:rFonts w:ascii="仿宋" w:eastAsia="仿宋" w:hAnsi="仿宋" w:cs="仿宋"/>
        </w:rPr>
        <w:t>0.4</w:t>
      </w:r>
      <w:r>
        <w:rPr>
          <w:rFonts w:ascii="仿宋" w:eastAsia="仿宋" w:hAnsi="仿宋" w:cs="仿宋"/>
        </w:rPr>
        <w:t>万元，主要原因是落实过紧日子要求，压缩经费支出等。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3.28</w:t>
      </w:r>
      <w:r>
        <w:rPr>
          <w:rFonts w:ascii="仿宋" w:eastAsia="仿宋" w:hAnsi="仿宋" w:cs="仿宋"/>
        </w:rPr>
        <w:t>万元，比上年预算减少</w:t>
      </w:r>
      <w:r>
        <w:rPr>
          <w:rFonts w:ascii="仿宋" w:eastAsia="仿宋" w:hAnsi="仿宋" w:cs="仿宋"/>
        </w:rPr>
        <w:t>1.78</w:t>
      </w:r>
      <w:r>
        <w:rPr>
          <w:rFonts w:ascii="仿宋" w:eastAsia="仿宋" w:hAnsi="仿宋" w:cs="仿宋"/>
        </w:rPr>
        <w:t>万元，主要原因是落实过紧日子要求，压缩经</w:t>
      </w:r>
      <w:r>
        <w:rPr>
          <w:rFonts w:ascii="仿宋" w:eastAsia="仿宋" w:hAnsi="仿宋" w:cs="仿宋"/>
        </w:rPr>
        <w:t>费支出等。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0.7</w:t>
      </w:r>
      <w:r>
        <w:rPr>
          <w:rFonts w:ascii="仿宋" w:eastAsia="仿宋" w:hAnsi="仿宋" w:cs="仿宋"/>
        </w:rPr>
        <w:t>万元，比上年预算减少</w:t>
      </w:r>
      <w:r>
        <w:rPr>
          <w:rFonts w:ascii="仿宋" w:eastAsia="仿宋" w:hAnsi="仿宋" w:cs="仿宋"/>
        </w:rPr>
        <w:t>0.5</w:t>
      </w:r>
      <w:r>
        <w:rPr>
          <w:rFonts w:ascii="仿宋" w:eastAsia="仿宋" w:hAnsi="仿宋" w:cs="仿宋"/>
        </w:rPr>
        <w:t>万元，主要原因是落实过紧日子要求，压缩经费支出等。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1.5</w:t>
      </w:r>
      <w:r>
        <w:rPr>
          <w:rFonts w:ascii="仿宋" w:eastAsia="仿宋" w:hAnsi="仿宋" w:cs="仿宋"/>
        </w:rPr>
        <w:t>万元，比上年预算增加</w:t>
      </w:r>
      <w:r>
        <w:rPr>
          <w:rFonts w:ascii="仿宋" w:eastAsia="仿宋" w:hAnsi="仿宋" w:cs="仿宋"/>
        </w:rPr>
        <w:t>0.2</w:t>
      </w:r>
      <w:r>
        <w:rPr>
          <w:rFonts w:ascii="仿宋" w:eastAsia="仿宋" w:hAnsi="仿宋" w:cs="仿宋"/>
        </w:rPr>
        <w:t>万元，主要原因是安排参加党校、高校培训人次增加等。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十一、国有资本经营预算支出预算情</w:t>
      </w:r>
      <w:r>
        <w:rPr>
          <w:rFonts w:ascii="仿宋" w:eastAsia="仿宋" w:hAnsi="仿宋" w:cs="仿宋"/>
          <w:b/>
        </w:rPr>
        <w:t>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2026</w:t>
      </w:r>
      <w:r>
        <w:rPr>
          <w:rFonts w:ascii="仿宋" w:eastAsia="仿宋" w:hAnsi="仿宋" w:cs="仿宋"/>
        </w:rPr>
        <w:t>年本部门一般公共预算机关运行经费预算支出</w:t>
      </w:r>
      <w:r>
        <w:rPr>
          <w:rFonts w:ascii="仿宋" w:eastAsia="仿宋" w:hAnsi="仿宋" w:cs="仿宋"/>
        </w:rPr>
        <w:t>374.71</w:t>
      </w:r>
      <w:r>
        <w:rPr>
          <w:rFonts w:ascii="仿宋" w:eastAsia="仿宋" w:hAnsi="仿宋" w:cs="仿宋"/>
        </w:rPr>
        <w:t>万元，与上年相比减少</w:t>
      </w:r>
      <w:r>
        <w:rPr>
          <w:rFonts w:ascii="仿宋" w:eastAsia="仿宋" w:hAnsi="仿宋" w:cs="仿宋"/>
        </w:rPr>
        <w:t>35.12</w:t>
      </w:r>
      <w:r>
        <w:rPr>
          <w:rFonts w:ascii="仿宋" w:eastAsia="仿宋" w:hAnsi="仿宋" w:cs="仿宋"/>
        </w:rPr>
        <w:t>万元，减少</w:t>
      </w:r>
      <w:r>
        <w:rPr>
          <w:rFonts w:ascii="仿宋" w:eastAsia="仿宋" w:hAnsi="仿宋" w:cs="仿宋"/>
        </w:rPr>
        <w:t>8.57%</w:t>
      </w:r>
      <w:r>
        <w:rPr>
          <w:rFonts w:ascii="仿宋" w:eastAsia="仿宋" w:hAnsi="仿宋" w:cs="仿宋"/>
        </w:rPr>
        <w:t>。主要原因是压缩经费支出，落实过紧日子要求等。</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十三、政府采购支出预算情况说明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4.25</w:t>
      </w:r>
      <w:r>
        <w:rPr>
          <w:rFonts w:ascii="仿宋" w:eastAsia="仿宋" w:hAnsi="仿宋" w:cs="仿宋"/>
        </w:rPr>
        <w:t>万元，其中：拟采购货物支出</w:t>
      </w:r>
      <w:r>
        <w:rPr>
          <w:rFonts w:ascii="仿宋" w:eastAsia="仿宋" w:hAnsi="仿宋" w:cs="仿宋"/>
        </w:rPr>
        <w:t>3.04</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1.21</w:t>
      </w:r>
      <w:r>
        <w:rPr>
          <w:rFonts w:ascii="仿宋" w:eastAsia="仿宋" w:hAnsi="仿宋" w:cs="仿宋"/>
        </w:rPr>
        <w:t>万元。</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本部门共有车辆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1</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十五、预算绩效目标设置情况说明</w:t>
      </w:r>
    </w:p>
    <w:p w:rsidR="00704C10" w:rsidRDefault="005F3F4A" w:rsidP="00207AF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2026</w:t>
      </w:r>
      <w:r>
        <w:rPr>
          <w:rFonts w:ascii="仿宋" w:eastAsia="仿宋" w:hAnsi="仿宋" w:cs="仿宋"/>
        </w:rPr>
        <w:t>年度，本部门整体支出纳入绩效目标管理，涉及财政性资金</w:t>
      </w:r>
      <w:r>
        <w:rPr>
          <w:rFonts w:ascii="仿宋" w:eastAsia="仿宋" w:hAnsi="仿宋" w:cs="仿宋"/>
        </w:rPr>
        <w:t>2,469.79</w:t>
      </w:r>
      <w:r>
        <w:rPr>
          <w:rFonts w:ascii="仿宋" w:eastAsia="仿宋" w:hAnsi="仿宋" w:cs="仿宋"/>
        </w:rPr>
        <w:t>万元；本部门共</w:t>
      </w:r>
      <w:r>
        <w:rPr>
          <w:rFonts w:ascii="仿宋" w:eastAsia="仿宋" w:hAnsi="仿宋" w:cs="仿宋"/>
        </w:rPr>
        <w:t>1</w:t>
      </w:r>
      <w:r>
        <w:rPr>
          <w:rFonts w:ascii="仿宋" w:eastAsia="仿宋" w:hAnsi="仿宋" w:cs="仿宋"/>
        </w:rPr>
        <w:t>个项目纳入绩效目标管理，涉及财政性资金合计</w:t>
      </w:r>
      <w:r>
        <w:rPr>
          <w:rFonts w:ascii="仿宋" w:eastAsia="仿宋" w:hAnsi="仿宋" w:cs="仿宋"/>
        </w:rPr>
        <w:t>1.24</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704C10" w:rsidRDefault="005F3F4A">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704C10" w:rsidRDefault="00704C10" w:rsidP="00207AFF">
      <w:pPr>
        <w:pStyle w:val="a4"/>
        <w:tabs>
          <w:tab w:val="left" w:pos="3864"/>
          <w:tab w:val="left" w:pos="6248"/>
          <w:tab w:val="left" w:pos="7386"/>
        </w:tabs>
        <w:ind w:leftChars="200" w:left="440" w:firstLineChars="206" w:firstLine="692"/>
        <w:jc w:val="both"/>
        <w:rPr>
          <w:rFonts w:ascii="仿宋" w:eastAsia="仿宋" w:hAnsi="仿宋" w:cs="仿宋"/>
        </w:rPr>
      </w:pP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w:t>
      </w:r>
      <w:r>
        <w:rPr>
          <w:rFonts w:ascii="仿宋" w:eastAsia="仿宋" w:hAnsi="仿宋" w:cs="仿宋" w:hint="eastAsia"/>
        </w:rPr>
        <w:lastRenderedPageBreak/>
        <w:t>发生的人员支出和公用支出。</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w:t>
      </w:r>
      <w:r>
        <w:rPr>
          <w:rFonts w:ascii="仿宋" w:eastAsia="仿宋" w:hAnsi="仿宋" w:cs="仿宋" w:hint="eastAsia"/>
        </w:rPr>
        <w:t>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w:t>
      </w:r>
      <w:r>
        <w:rPr>
          <w:rFonts w:ascii="仿宋" w:eastAsia="仿宋" w:hAnsi="仿宋" w:cs="仿宋" w:hint="eastAsia"/>
        </w:rPr>
        <w:lastRenderedPageBreak/>
        <w:t>映行政单位（包括实行公务员管理的事业单位）的基本支出。</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w:t>
      </w:r>
      <w:r>
        <w:rPr>
          <w:rFonts w:ascii="仿宋" w:eastAsia="仿宋" w:hAnsi="仿宋" w:cs="仿宋" w:hint="eastAsia"/>
        </w:rPr>
        <w:t>制度由单位实际缴纳的职业年金支出（含职业年金补记支出）。</w:t>
      </w:r>
    </w:p>
    <w:p w:rsidR="00704C10" w:rsidRDefault="005F3F4A" w:rsidP="00207AF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lastRenderedPageBreak/>
        <w:t>反映行政事业单位按人力资源和社会保障部、财政部规定的基本工资和津贴补贴以及规定比例为职工缴纳的住房公积金。</w:t>
      </w:r>
    </w:p>
    <w:p w:rsidR="00704C10" w:rsidRDefault="005F3F4A" w:rsidP="00704C1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704C10" w:rsidSect="00704C10">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F4A" w:rsidRDefault="005F3F4A" w:rsidP="00704C10">
      <w:r>
        <w:separator/>
      </w:r>
    </w:p>
  </w:endnote>
  <w:endnote w:type="continuationSeparator" w:id="0">
    <w:p w:rsidR="005F3F4A" w:rsidRDefault="005F3F4A" w:rsidP="00704C1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0000000" w:usb2="00000000" w:usb3="00000000" w:csb0="0004009F" w:csb1="DFD70000"/>
  </w:font>
  <w:font w:name="黑体">
    <w:altName w:val="微软雅黑"/>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rPr>
        <w:rFonts w:ascii="黑体" w:eastAsia="黑体" w:hAnsi="黑体" w:cs="黑体"/>
      </w:rPr>
    </w:pPr>
    <w:r w:rsidRPr="00704C10">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704C10" w:rsidRDefault="00704C10">
                <w:pPr>
                  <w:pStyle w:val="a5"/>
                  <w:rPr>
                    <w:rFonts w:ascii="黑体" w:eastAsia="黑体" w:hAnsi="黑体" w:cs="黑体"/>
                  </w:rPr>
                </w:pPr>
                <w:r>
                  <w:rPr>
                    <w:rFonts w:ascii="黑体" w:eastAsia="黑体" w:hAnsi="黑体" w:cs="黑体" w:hint="eastAsia"/>
                  </w:rPr>
                  <w:fldChar w:fldCharType="begin"/>
                </w:r>
                <w:r w:rsidR="005F3F4A">
                  <w:rPr>
                    <w:rFonts w:ascii="黑体" w:eastAsia="黑体" w:hAnsi="黑体" w:cs="黑体" w:hint="eastAsia"/>
                  </w:rPr>
                  <w:instrText xml:space="preserve"> PAGE  \* MERGEFORMAT </w:instrText>
                </w:r>
                <w:r>
                  <w:rPr>
                    <w:rFonts w:ascii="黑体" w:eastAsia="黑体" w:hAnsi="黑体" w:cs="黑体" w:hint="eastAsia"/>
                  </w:rPr>
                  <w:fldChar w:fldCharType="separate"/>
                </w:r>
                <w:r w:rsidR="00207AFF">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- 20 -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- 22 -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- 23 -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- 41 -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rPr>
        <w:rFonts w:ascii="黑体" w:eastAsia="黑体" w:hAnsi="黑体" w:cs="黑体"/>
      </w:rPr>
    </w:pPr>
    <w:r w:rsidRPr="00704C10">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704C10" w:rsidRDefault="00704C10">
                <w:pPr>
                  <w:pStyle w:val="a5"/>
                  <w:rPr>
                    <w:rFonts w:ascii="黑体" w:eastAsia="黑体" w:hAnsi="黑体" w:cs="黑体"/>
                  </w:rPr>
                </w:pPr>
                <w:r>
                  <w:rPr>
                    <w:rFonts w:ascii="黑体" w:eastAsia="黑体" w:hAnsi="黑体" w:cs="黑体" w:hint="eastAsia"/>
                  </w:rPr>
                  <w:fldChar w:fldCharType="begin"/>
                </w:r>
                <w:r w:rsidR="005F3F4A">
                  <w:rPr>
                    <w:rFonts w:ascii="黑体" w:eastAsia="黑体" w:hAnsi="黑体" w:cs="黑体" w:hint="eastAsia"/>
                  </w:rPr>
                  <w:instrText xml:space="preserve"> PAGE  \* MERGEFORMAT </w:instrText>
                </w:r>
                <w:r>
                  <w:rPr>
                    <w:rFonts w:ascii="黑体" w:eastAsia="黑体" w:hAnsi="黑体" w:cs="黑体" w:hint="eastAsia"/>
                  </w:rPr>
                  <w:fldChar w:fldCharType="separate"/>
                </w:r>
                <w:r w:rsidR="00207AFF">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- 8 -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- 9 -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- 11 -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- 13 -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- 16 -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5"/>
      <w:jc w:val="center"/>
    </w:pPr>
    <w:r w:rsidRPr="00704C10">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704C10" w:rsidRDefault="00704C10">
                <w:pPr>
                  <w:pStyle w:val="a5"/>
                </w:pPr>
                <w:r>
                  <w:rPr>
                    <w:rFonts w:hint="eastAsia"/>
                  </w:rPr>
                  <w:fldChar w:fldCharType="begin"/>
                </w:r>
                <w:r w:rsidR="005F3F4A">
                  <w:rPr>
                    <w:rFonts w:hint="eastAsia"/>
                  </w:rPr>
                  <w:instrText xml:space="preserve"> PAGE  \* MERGEFORMAT </w:instrText>
                </w:r>
                <w:r>
                  <w:rPr>
                    <w:rFonts w:hint="eastAsia"/>
                  </w:rPr>
                  <w:fldChar w:fldCharType="separate"/>
                </w:r>
                <w:r w:rsidR="00207AFF">
                  <w:rPr>
                    <w:noProof/>
                  </w:rPr>
                  <w:t>- 17 -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F4A" w:rsidRDefault="005F3F4A">
      <w:r>
        <w:separator/>
      </w:r>
    </w:p>
  </w:footnote>
  <w:footnote w:type="continuationSeparator" w:id="0">
    <w:p w:rsidR="005F3F4A" w:rsidRDefault="005F3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5F3F4A">
    <w:pPr>
      <w:pStyle w:val="a6"/>
      <w:pBdr>
        <w:bottom w:val="single" w:sz="4" w:space="1" w:color="000000"/>
      </w:pBdr>
      <w:jc w:val="both"/>
      <w:rPr>
        <w:lang w:val="en-US"/>
      </w:rPr>
    </w:pPr>
    <w:r>
      <w:rPr>
        <w:rFonts w:hint="eastAsia"/>
        <w:lang w:val="en-US"/>
      </w:rPr>
      <w:t>中国共产党南京市委员会台湾工作办公室</w:t>
    </w:r>
    <w:r>
      <w:t>2026</w:t>
    </w:r>
    <w:r>
      <w:t>年度部门预算公开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10" w:rsidRDefault="00704C10">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704C10"/>
    <w:rsid w:val="DBEED555"/>
    <w:rsid w:val="00064984"/>
    <w:rsid w:val="00071288"/>
    <w:rsid w:val="00071789"/>
    <w:rsid w:val="000F12AB"/>
    <w:rsid w:val="001C31F9"/>
    <w:rsid w:val="00207AFF"/>
    <w:rsid w:val="00407CA7"/>
    <w:rsid w:val="00413AD8"/>
    <w:rsid w:val="005F3F4A"/>
    <w:rsid w:val="00671ED7"/>
    <w:rsid w:val="00672164"/>
    <w:rsid w:val="00704C10"/>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04C10"/>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704C10"/>
    <w:pPr>
      <w:ind w:left="-40"/>
      <w:outlineLvl w:val="0"/>
    </w:pPr>
    <w:rPr>
      <w:sz w:val="52"/>
      <w:szCs w:val="52"/>
    </w:rPr>
  </w:style>
  <w:style w:type="paragraph" w:styleId="2">
    <w:name w:val="heading 2"/>
    <w:basedOn w:val="a"/>
    <w:next w:val="a"/>
    <w:uiPriority w:val="1"/>
    <w:qFormat/>
    <w:rsid w:val="00704C10"/>
    <w:pPr>
      <w:ind w:right="18"/>
      <w:jc w:val="center"/>
      <w:outlineLvl w:val="1"/>
    </w:pPr>
    <w:rPr>
      <w:sz w:val="44"/>
      <w:szCs w:val="44"/>
    </w:rPr>
  </w:style>
  <w:style w:type="paragraph" w:styleId="3">
    <w:name w:val="heading 3"/>
    <w:basedOn w:val="a"/>
    <w:next w:val="a"/>
    <w:uiPriority w:val="1"/>
    <w:qFormat/>
    <w:rsid w:val="00704C10"/>
    <w:pPr>
      <w:ind w:left="1"/>
      <w:jc w:val="center"/>
      <w:outlineLvl w:val="2"/>
    </w:pPr>
    <w:rPr>
      <w:sz w:val="40"/>
      <w:szCs w:val="40"/>
    </w:rPr>
  </w:style>
  <w:style w:type="paragraph" w:styleId="4">
    <w:name w:val="heading 4"/>
    <w:basedOn w:val="a"/>
    <w:next w:val="a"/>
    <w:uiPriority w:val="1"/>
    <w:qFormat/>
    <w:rsid w:val="00704C10"/>
    <w:pPr>
      <w:jc w:val="center"/>
      <w:outlineLvl w:val="3"/>
    </w:pPr>
    <w:rPr>
      <w:sz w:val="36"/>
      <w:szCs w:val="36"/>
    </w:rPr>
  </w:style>
  <w:style w:type="paragraph" w:styleId="5">
    <w:name w:val="heading 5"/>
    <w:basedOn w:val="a"/>
    <w:next w:val="a"/>
    <w:uiPriority w:val="1"/>
    <w:qFormat/>
    <w:rsid w:val="00704C10"/>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04C10"/>
    <w:pPr>
      <w:suppressLineNumbers/>
      <w:spacing w:before="120" w:after="120"/>
    </w:pPr>
    <w:rPr>
      <w:i/>
      <w:iCs/>
      <w:sz w:val="24"/>
      <w:szCs w:val="24"/>
    </w:rPr>
  </w:style>
  <w:style w:type="paragraph" w:styleId="a4">
    <w:name w:val="Body Text"/>
    <w:basedOn w:val="a"/>
    <w:uiPriority w:val="1"/>
    <w:qFormat/>
    <w:rsid w:val="00704C10"/>
    <w:rPr>
      <w:sz w:val="32"/>
      <w:szCs w:val="32"/>
    </w:rPr>
  </w:style>
  <w:style w:type="paragraph" w:styleId="a5">
    <w:name w:val="footer"/>
    <w:basedOn w:val="a"/>
    <w:qFormat/>
    <w:rsid w:val="00704C10"/>
    <w:pPr>
      <w:tabs>
        <w:tab w:val="center" w:pos="4153"/>
        <w:tab w:val="right" w:pos="8306"/>
      </w:tabs>
      <w:snapToGrid w:val="0"/>
    </w:pPr>
    <w:rPr>
      <w:sz w:val="18"/>
      <w:szCs w:val="18"/>
    </w:rPr>
  </w:style>
  <w:style w:type="paragraph" w:styleId="a6">
    <w:name w:val="header"/>
    <w:basedOn w:val="a"/>
    <w:qFormat/>
    <w:rsid w:val="00704C10"/>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704C10"/>
  </w:style>
  <w:style w:type="table" w:styleId="a8">
    <w:name w:val="Table Grid"/>
    <w:basedOn w:val="a1"/>
    <w:qFormat/>
    <w:rsid w:val="00704C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704C10"/>
  </w:style>
  <w:style w:type="character" w:customStyle="1" w:styleId="aa">
    <w:name w:val="页眉 字符"/>
    <w:basedOn w:val="a0"/>
    <w:qFormat/>
    <w:rsid w:val="00704C10"/>
    <w:rPr>
      <w:rFonts w:ascii="Arial Unicode MS" w:eastAsia="Arial Unicode MS" w:hAnsi="Arial Unicode MS" w:cs="Arial Unicode MS"/>
      <w:sz w:val="18"/>
      <w:szCs w:val="18"/>
      <w:lang w:val="zh-CN" w:bidi="zh-CN"/>
    </w:rPr>
  </w:style>
  <w:style w:type="character" w:customStyle="1" w:styleId="ab">
    <w:name w:val="页脚 字符"/>
    <w:basedOn w:val="a0"/>
    <w:qFormat/>
    <w:rsid w:val="00704C10"/>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704C10"/>
    <w:pPr>
      <w:keepNext/>
      <w:spacing w:before="240" w:after="120"/>
    </w:pPr>
    <w:rPr>
      <w:rFonts w:ascii="Liberation Sans" w:hAnsi="Liberation Sans"/>
      <w:sz w:val="28"/>
      <w:szCs w:val="28"/>
    </w:rPr>
  </w:style>
  <w:style w:type="paragraph" w:customStyle="1" w:styleId="ad">
    <w:name w:val="索引"/>
    <w:basedOn w:val="a"/>
    <w:qFormat/>
    <w:rsid w:val="00704C10"/>
    <w:pPr>
      <w:suppressLineNumbers/>
    </w:pPr>
  </w:style>
  <w:style w:type="paragraph" w:customStyle="1" w:styleId="ae">
    <w:name w:val="页眉与页脚"/>
    <w:basedOn w:val="a"/>
    <w:qFormat/>
    <w:rsid w:val="00704C10"/>
  </w:style>
  <w:style w:type="paragraph" w:customStyle="1" w:styleId="10">
    <w:name w:val="列出段落1"/>
    <w:basedOn w:val="a"/>
    <w:uiPriority w:val="1"/>
    <w:qFormat/>
    <w:rsid w:val="00704C10"/>
    <w:pPr>
      <w:ind w:left="2039" w:hanging="782"/>
    </w:pPr>
  </w:style>
  <w:style w:type="paragraph" w:customStyle="1" w:styleId="TableParagraph">
    <w:name w:val="Table Paragraph"/>
    <w:basedOn w:val="a"/>
    <w:uiPriority w:val="1"/>
    <w:qFormat/>
    <w:rsid w:val="00704C10"/>
    <w:rPr>
      <w:rFonts w:ascii="宋体" w:eastAsia="宋体" w:hAnsi="宋体" w:cs="宋体"/>
    </w:rPr>
  </w:style>
  <w:style w:type="paragraph" w:customStyle="1" w:styleId="af">
    <w:name w:val="表格内容"/>
    <w:basedOn w:val="a"/>
    <w:qFormat/>
    <w:rsid w:val="00704C10"/>
    <w:pPr>
      <w:suppressLineNumbers/>
    </w:pPr>
  </w:style>
  <w:style w:type="paragraph" w:customStyle="1" w:styleId="af0">
    <w:name w:val="表格标题"/>
    <w:basedOn w:val="af"/>
    <w:qFormat/>
    <w:rsid w:val="00704C10"/>
    <w:pPr>
      <w:jc w:val="center"/>
    </w:pPr>
    <w:rPr>
      <w:b/>
      <w:bCs/>
    </w:rPr>
  </w:style>
  <w:style w:type="paragraph" w:customStyle="1" w:styleId="af1">
    <w:name w:val="预格式化的文本"/>
    <w:basedOn w:val="a"/>
    <w:qFormat/>
    <w:rsid w:val="00704C10"/>
    <w:rPr>
      <w:rFonts w:ascii="Liberation Mono" w:eastAsia="新宋体" w:hAnsi="Liberation Mono" w:cs="Liberation Mono"/>
      <w:sz w:val="20"/>
      <w:szCs w:val="20"/>
    </w:rPr>
  </w:style>
  <w:style w:type="table" w:customStyle="1" w:styleId="TableNormal">
    <w:name w:val="Table Normal"/>
    <w:uiPriority w:val="2"/>
    <w:unhideWhenUsed/>
    <w:qFormat/>
    <w:rsid w:val="00704C1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2102</Words>
  <Characters>11982</Characters>
  <Application>Microsoft Office Word</Application>
  <DocSecurity>0</DocSecurity>
  <Lines>99</Lines>
  <Paragraphs>28</Paragraphs>
  <ScaleCrop>false</ScaleCrop>
  <Company/>
  <LinksUpToDate>false</LinksUpToDate>
  <CharactersWithSpaces>14056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2026-02-25T02:54:00Z</dcterms:created>
  <dcterms:modified xsi:type="dcterms:W3CDTF">2026-02-25T02:54:00Z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